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CF1" w:rsidRPr="009F7767" w:rsidRDefault="009F7767" w:rsidP="00E46CF1">
      <w:pPr>
        <w:pStyle w:val="Title"/>
        <w:tabs>
          <w:tab w:val="left" w:pos="-5400"/>
          <w:tab w:val="left" w:pos="-3330"/>
        </w:tabs>
        <w:jc w:val="both"/>
        <w:rPr>
          <w:i/>
          <w:sz w:val="28"/>
          <w:szCs w:val="28"/>
        </w:rPr>
      </w:pPr>
      <w:r>
        <w:rPr>
          <w:sz w:val="28"/>
          <w:szCs w:val="28"/>
          <w:lang w:val="id-ID"/>
        </w:rPr>
        <w:t xml:space="preserve">ANALISA DARAH LISIS TERHADAP NILAI TROMBOSIT DENGAN MENGGUNAKAN METODE </w:t>
      </w:r>
      <w:r w:rsidR="0068565D">
        <w:rPr>
          <w:i/>
          <w:sz w:val="28"/>
          <w:szCs w:val="28"/>
          <w:lang w:val="id-ID"/>
        </w:rPr>
        <w:t>ELEKTRICAL IMPEDANCE</w:t>
      </w:r>
    </w:p>
    <w:p w:rsidR="00D30871" w:rsidRPr="009F7767" w:rsidRDefault="009F7767" w:rsidP="00E46CF1">
      <w:pPr>
        <w:spacing w:after="240"/>
        <w:jc w:val="both"/>
        <w:rPr>
          <w:b/>
          <w:szCs w:val="24"/>
          <w:lang w:val="id-ID"/>
        </w:rPr>
      </w:pPr>
      <w:r>
        <w:rPr>
          <w:b/>
          <w:szCs w:val="24"/>
          <w:lang w:val="id-ID"/>
        </w:rPr>
        <w:t>Zulfikar Husni Faruq</w:t>
      </w:r>
      <w:r w:rsidR="006E2AF6">
        <w:rPr>
          <w:b/>
          <w:szCs w:val="24"/>
          <w:vertAlign w:val="superscript"/>
        </w:rPr>
        <w:t>1</w:t>
      </w:r>
      <w:r w:rsidR="006E2AF6">
        <w:rPr>
          <w:b/>
          <w:szCs w:val="24"/>
          <w:vertAlign w:val="superscript"/>
          <w:lang w:val="id-ID"/>
        </w:rPr>
        <w:t>*</w:t>
      </w:r>
    </w:p>
    <w:p w:rsidR="00E46CF1" w:rsidRPr="009F7767" w:rsidRDefault="00D30871" w:rsidP="009F7767">
      <w:pPr>
        <w:jc w:val="both"/>
        <w:rPr>
          <w:sz w:val="20"/>
          <w:lang w:val="id-ID"/>
        </w:rPr>
      </w:pPr>
      <w:r>
        <w:rPr>
          <w:sz w:val="20"/>
          <w:vertAlign w:val="superscript"/>
        </w:rPr>
        <w:t>1</w:t>
      </w:r>
      <w:r w:rsidR="009F7767">
        <w:rPr>
          <w:sz w:val="20"/>
          <w:lang w:val="id-ID"/>
        </w:rPr>
        <w:t>Laboratorium Hematologi</w:t>
      </w:r>
      <w:r>
        <w:rPr>
          <w:sz w:val="20"/>
          <w:lang w:val="id-ID"/>
        </w:rPr>
        <w:t xml:space="preserve">, </w:t>
      </w:r>
      <w:r w:rsidRPr="00F93B25">
        <w:rPr>
          <w:rFonts w:cs="Book Antiqua"/>
          <w:color w:val="000000"/>
          <w:sz w:val="20"/>
        </w:rPr>
        <w:t>Fakultas</w:t>
      </w:r>
      <w:r>
        <w:rPr>
          <w:rFonts w:cs="Book Antiqua"/>
          <w:color w:val="000000"/>
          <w:sz w:val="20"/>
        </w:rPr>
        <w:t xml:space="preserve"> </w:t>
      </w:r>
      <w:r w:rsidRPr="00F93B25">
        <w:rPr>
          <w:rFonts w:cs="Book Antiqua"/>
          <w:color w:val="000000"/>
          <w:sz w:val="20"/>
        </w:rPr>
        <w:t>Ilmu</w:t>
      </w:r>
      <w:r>
        <w:rPr>
          <w:rFonts w:cs="Book Antiqua"/>
          <w:color w:val="000000"/>
          <w:sz w:val="20"/>
        </w:rPr>
        <w:t xml:space="preserve"> </w:t>
      </w:r>
      <w:r w:rsidRPr="00F93B25">
        <w:rPr>
          <w:rFonts w:cs="Book Antiqua"/>
          <w:color w:val="000000"/>
          <w:sz w:val="20"/>
        </w:rPr>
        <w:t>Keperawatan</w:t>
      </w:r>
      <w:r>
        <w:rPr>
          <w:rFonts w:cs="Book Antiqua"/>
          <w:color w:val="000000"/>
          <w:sz w:val="20"/>
        </w:rPr>
        <w:t xml:space="preserve"> </w:t>
      </w:r>
      <w:r w:rsidRPr="00F93B25">
        <w:rPr>
          <w:rFonts w:cs="Book Antiqua"/>
          <w:color w:val="000000"/>
          <w:sz w:val="20"/>
        </w:rPr>
        <w:t>dan</w:t>
      </w:r>
      <w:r>
        <w:rPr>
          <w:rFonts w:cs="Book Antiqua"/>
          <w:color w:val="000000"/>
          <w:sz w:val="20"/>
        </w:rPr>
        <w:t xml:space="preserve"> </w:t>
      </w:r>
      <w:r w:rsidRPr="00F93B25">
        <w:rPr>
          <w:rFonts w:cs="Book Antiqua"/>
          <w:color w:val="000000"/>
          <w:sz w:val="20"/>
        </w:rPr>
        <w:t>Kesehatan, Universitas</w:t>
      </w:r>
      <w:r>
        <w:rPr>
          <w:rFonts w:cs="Book Antiqua"/>
          <w:color w:val="000000"/>
          <w:sz w:val="20"/>
        </w:rPr>
        <w:t xml:space="preserve"> </w:t>
      </w:r>
      <w:r w:rsidRPr="00F93B25">
        <w:rPr>
          <w:rFonts w:cs="Book Antiqua"/>
          <w:color w:val="000000"/>
          <w:sz w:val="20"/>
        </w:rPr>
        <w:t>Muhammadiyah Semarang</w:t>
      </w:r>
      <w:r>
        <w:rPr>
          <w:rFonts w:cs="Book Antiqua"/>
          <w:color w:val="000000"/>
          <w:sz w:val="20"/>
        </w:rPr>
        <w:t xml:space="preserve"> </w:t>
      </w:r>
    </w:p>
    <w:tbl>
      <w:tblPr>
        <w:tblW w:w="8472" w:type="dxa"/>
        <w:tblBorders>
          <w:top w:val="single" w:sz="4" w:space="0" w:color="auto"/>
          <w:bottom w:val="single" w:sz="4" w:space="0" w:color="auto"/>
          <w:insideH w:val="single" w:sz="4" w:space="0" w:color="auto"/>
        </w:tblBorders>
        <w:tblLook w:val="04A0"/>
      </w:tblPr>
      <w:tblGrid>
        <w:gridCol w:w="2943"/>
        <w:gridCol w:w="426"/>
        <w:gridCol w:w="5103"/>
      </w:tblGrid>
      <w:tr w:rsidR="00E46CF1" w:rsidRPr="00D25F86" w:rsidTr="005A32AC">
        <w:tc>
          <w:tcPr>
            <w:tcW w:w="2943" w:type="dxa"/>
          </w:tcPr>
          <w:p w:rsidR="00E46CF1" w:rsidRPr="005A32AC" w:rsidRDefault="00E46CF1" w:rsidP="005A32AC">
            <w:pPr>
              <w:autoSpaceDE w:val="0"/>
              <w:spacing w:after="120"/>
              <w:ind w:left="1080" w:right="14" w:hanging="1080"/>
              <w:rPr>
                <w:b/>
                <w:i/>
                <w:sz w:val="20"/>
              </w:rPr>
            </w:pPr>
            <w:r w:rsidRPr="005A32AC">
              <w:rPr>
                <w:b/>
                <w:i/>
                <w:sz w:val="20"/>
              </w:rPr>
              <w:t>Info Artikel</w:t>
            </w:r>
          </w:p>
        </w:tc>
        <w:tc>
          <w:tcPr>
            <w:tcW w:w="426" w:type="dxa"/>
            <w:vMerge w:val="restart"/>
          </w:tcPr>
          <w:p w:rsidR="00E46CF1" w:rsidRPr="005A32AC" w:rsidRDefault="00E46CF1" w:rsidP="00E46CF1">
            <w:pPr>
              <w:rPr>
                <w:b/>
                <w:i/>
                <w:sz w:val="20"/>
              </w:rPr>
            </w:pPr>
          </w:p>
        </w:tc>
        <w:tc>
          <w:tcPr>
            <w:tcW w:w="5103" w:type="dxa"/>
          </w:tcPr>
          <w:p w:rsidR="00E46CF1" w:rsidRPr="009F7767" w:rsidRDefault="00E46CF1" w:rsidP="00E46CF1">
            <w:pPr>
              <w:rPr>
                <w:b/>
                <w:i/>
                <w:sz w:val="20"/>
                <w:lang w:val="id-ID"/>
              </w:rPr>
            </w:pPr>
            <w:r w:rsidRPr="005A32AC">
              <w:rPr>
                <w:b/>
                <w:i/>
                <w:sz w:val="20"/>
              </w:rPr>
              <w:t xml:space="preserve">Abstrak </w:t>
            </w:r>
          </w:p>
        </w:tc>
      </w:tr>
      <w:tr w:rsidR="00E46CF1" w:rsidRPr="00D25F86" w:rsidTr="005A32AC">
        <w:tc>
          <w:tcPr>
            <w:tcW w:w="2943" w:type="dxa"/>
          </w:tcPr>
          <w:p w:rsidR="00E46CF1" w:rsidRPr="009F7767" w:rsidRDefault="009F7767" w:rsidP="00E46CF1">
            <w:pPr>
              <w:rPr>
                <w:bCs/>
                <w:iCs/>
                <w:sz w:val="20"/>
                <w:lang w:val="id-ID"/>
              </w:rPr>
            </w:pPr>
            <w:r>
              <w:rPr>
                <w:bCs/>
                <w:iCs/>
                <w:sz w:val="20"/>
              </w:rPr>
              <w:t xml:space="preserve">Diterima </w:t>
            </w:r>
          </w:p>
          <w:p w:rsidR="00E46CF1" w:rsidRPr="009F7767" w:rsidRDefault="009F7767" w:rsidP="00E46CF1">
            <w:pPr>
              <w:rPr>
                <w:bCs/>
                <w:iCs/>
                <w:sz w:val="20"/>
                <w:lang w:val="id-ID"/>
              </w:rPr>
            </w:pPr>
            <w:r>
              <w:rPr>
                <w:bCs/>
                <w:iCs/>
                <w:sz w:val="20"/>
              </w:rPr>
              <w:t xml:space="preserve">Direvisi </w:t>
            </w:r>
          </w:p>
          <w:p w:rsidR="00E46CF1" w:rsidRPr="009F7767" w:rsidRDefault="009F7767" w:rsidP="00E46CF1">
            <w:pPr>
              <w:rPr>
                <w:bCs/>
                <w:iCs/>
                <w:sz w:val="20"/>
                <w:lang w:val="id-ID"/>
              </w:rPr>
            </w:pPr>
            <w:r>
              <w:rPr>
                <w:bCs/>
                <w:iCs/>
                <w:sz w:val="20"/>
              </w:rPr>
              <w:t xml:space="preserve">Disetujui </w:t>
            </w:r>
          </w:p>
          <w:p w:rsidR="00E46CF1" w:rsidRPr="009F7767" w:rsidRDefault="00E46CF1" w:rsidP="005A32AC">
            <w:pPr>
              <w:autoSpaceDE w:val="0"/>
              <w:spacing w:after="120"/>
              <w:ind w:left="1080" w:right="14" w:hanging="1080"/>
              <w:rPr>
                <w:b/>
                <w:i/>
                <w:sz w:val="20"/>
                <w:lang w:val="id-ID"/>
              </w:rPr>
            </w:pPr>
            <w:r w:rsidRPr="005A32AC">
              <w:rPr>
                <w:bCs/>
                <w:iCs/>
                <w:sz w:val="20"/>
              </w:rPr>
              <w:t xml:space="preserve">Tersedia Online </w:t>
            </w:r>
          </w:p>
        </w:tc>
        <w:tc>
          <w:tcPr>
            <w:tcW w:w="426" w:type="dxa"/>
            <w:vMerge/>
          </w:tcPr>
          <w:p w:rsidR="00E46CF1" w:rsidRPr="005A32AC" w:rsidRDefault="00E46CF1" w:rsidP="005A32AC">
            <w:pPr>
              <w:autoSpaceDE w:val="0"/>
              <w:spacing w:after="200"/>
              <w:ind w:right="11"/>
              <w:jc w:val="both"/>
              <w:rPr>
                <w:sz w:val="20"/>
                <w:lang w:val="id-ID"/>
              </w:rPr>
            </w:pPr>
          </w:p>
        </w:tc>
        <w:tc>
          <w:tcPr>
            <w:tcW w:w="5103" w:type="dxa"/>
            <w:vMerge w:val="restart"/>
          </w:tcPr>
          <w:p w:rsidR="00E46CF1" w:rsidRPr="009F7767" w:rsidRDefault="008E4D8F" w:rsidP="005A32AC">
            <w:pPr>
              <w:autoSpaceDE w:val="0"/>
              <w:spacing w:after="200"/>
              <w:ind w:right="11"/>
              <w:jc w:val="both"/>
              <w:rPr>
                <w:sz w:val="20"/>
                <w:lang w:val="id-ID"/>
              </w:rPr>
            </w:pPr>
            <w:r>
              <w:rPr>
                <w:sz w:val="20"/>
                <w:lang w:val="id-ID"/>
              </w:rPr>
              <w:t>Darah</w:t>
            </w:r>
            <w:r w:rsidR="009F7767">
              <w:rPr>
                <w:sz w:val="20"/>
                <w:lang w:val="id-ID"/>
              </w:rPr>
              <w:t xml:space="preserve"> lisis merupakan faktor yang pra analitik yang paling banyak terjadi di lapangan yang dapat mempengaruhi hasil pemeriksaan. Penelitian ini bertujuan untuk melihati tingkatan lisis darah terhadap nilai trombosit dengan menggunakan metode </w:t>
            </w:r>
            <w:r>
              <w:rPr>
                <w:i/>
                <w:sz w:val="22"/>
                <w:szCs w:val="22"/>
                <w:lang w:val="id-ID"/>
              </w:rPr>
              <w:t>Electrical impedance</w:t>
            </w:r>
            <w:r w:rsidR="0077329E">
              <w:rPr>
                <w:sz w:val="20"/>
                <w:lang w:val="id-ID"/>
              </w:rPr>
              <w:t>. Sampel menggunakan darah EDTA dari 10 orang mahasiswa yang masing masing dilisiskan berdasarkan katagori normal, ringan, sedang dan berat. Hasil diketahui terdapat perbedaan antara masing masing katagori darah. diketahui bahwa semakin banyak darah yang lisis terdapat pengingkatan jumlah trombosit. Peningkatan trombosit disebabkan karena</w:t>
            </w:r>
            <w:r w:rsidR="00374C9B">
              <w:rPr>
                <w:sz w:val="20"/>
                <w:lang w:val="id-ID"/>
              </w:rPr>
              <w:t xml:space="preserve"> lisisnya sel darah sehingga pertikel partikel darah yang hancur akan terbaca pada metode </w:t>
            </w:r>
            <w:r w:rsidR="0068565D">
              <w:rPr>
                <w:i/>
                <w:sz w:val="22"/>
                <w:szCs w:val="22"/>
                <w:lang w:val="id-ID"/>
              </w:rPr>
              <w:t>Electrical impedance</w:t>
            </w:r>
            <w:r w:rsidR="0068565D">
              <w:rPr>
                <w:sz w:val="22"/>
                <w:szCs w:val="22"/>
                <w:lang w:val="id-ID"/>
              </w:rPr>
              <w:t xml:space="preserve"> </w:t>
            </w:r>
            <w:r w:rsidR="00374C9B">
              <w:rPr>
                <w:sz w:val="20"/>
                <w:lang w:val="id-ID"/>
              </w:rPr>
              <w:t>sebagai trombosit.</w:t>
            </w:r>
          </w:p>
          <w:p w:rsidR="00E46CF1" w:rsidRPr="005A32AC" w:rsidRDefault="00E46CF1" w:rsidP="005A32AC">
            <w:pPr>
              <w:autoSpaceDE w:val="0"/>
              <w:spacing w:after="120"/>
              <w:ind w:right="14"/>
              <w:rPr>
                <w:b/>
                <w:sz w:val="20"/>
              </w:rPr>
            </w:pPr>
          </w:p>
        </w:tc>
      </w:tr>
      <w:tr w:rsidR="00E46CF1" w:rsidRPr="00D25F86" w:rsidTr="005A32AC">
        <w:tc>
          <w:tcPr>
            <w:tcW w:w="2943" w:type="dxa"/>
          </w:tcPr>
          <w:p w:rsidR="00E46CF1" w:rsidRPr="005A32AC" w:rsidRDefault="00E46CF1" w:rsidP="005A32AC">
            <w:pPr>
              <w:autoSpaceDE w:val="0"/>
              <w:spacing w:after="120"/>
              <w:ind w:left="1080" w:right="14" w:hanging="1080"/>
              <w:rPr>
                <w:b/>
                <w:i/>
                <w:sz w:val="20"/>
              </w:rPr>
            </w:pPr>
            <w:r w:rsidRPr="005A32AC">
              <w:rPr>
                <w:b/>
                <w:i/>
                <w:sz w:val="20"/>
              </w:rPr>
              <w:t>Keywords:</w:t>
            </w:r>
          </w:p>
        </w:tc>
        <w:tc>
          <w:tcPr>
            <w:tcW w:w="426" w:type="dxa"/>
            <w:vMerge/>
          </w:tcPr>
          <w:p w:rsidR="00E46CF1" w:rsidRPr="005A32AC" w:rsidRDefault="00E46CF1" w:rsidP="005A32AC">
            <w:pPr>
              <w:autoSpaceDE w:val="0"/>
              <w:spacing w:after="120"/>
              <w:ind w:right="14"/>
              <w:rPr>
                <w:b/>
                <w:sz w:val="20"/>
              </w:rPr>
            </w:pPr>
          </w:p>
        </w:tc>
        <w:tc>
          <w:tcPr>
            <w:tcW w:w="5103" w:type="dxa"/>
            <w:vMerge/>
          </w:tcPr>
          <w:p w:rsidR="00E46CF1" w:rsidRPr="005A32AC" w:rsidRDefault="00E46CF1" w:rsidP="005A32AC">
            <w:pPr>
              <w:autoSpaceDE w:val="0"/>
              <w:spacing w:after="120"/>
              <w:ind w:right="14"/>
              <w:rPr>
                <w:b/>
                <w:sz w:val="20"/>
              </w:rPr>
            </w:pPr>
          </w:p>
        </w:tc>
      </w:tr>
      <w:tr w:rsidR="00E46CF1" w:rsidRPr="00D25F86" w:rsidTr="005A32AC">
        <w:tc>
          <w:tcPr>
            <w:tcW w:w="2943" w:type="dxa"/>
          </w:tcPr>
          <w:p w:rsidR="00E46CF1" w:rsidRPr="009F7767" w:rsidRDefault="009F7767" w:rsidP="009F7767">
            <w:pPr>
              <w:autoSpaceDE w:val="0"/>
              <w:spacing w:after="120"/>
              <w:ind w:right="14"/>
              <w:jc w:val="both"/>
              <w:rPr>
                <w:i/>
                <w:sz w:val="20"/>
                <w:lang w:val="id-ID"/>
              </w:rPr>
            </w:pPr>
            <w:r>
              <w:rPr>
                <w:i/>
                <w:sz w:val="20"/>
                <w:lang w:val="id-ID"/>
              </w:rPr>
              <w:t xml:space="preserve">Darah Lisis, Nilai Trombosit, </w:t>
            </w:r>
            <w:r w:rsidR="00A933E5">
              <w:rPr>
                <w:i/>
                <w:sz w:val="22"/>
                <w:szCs w:val="22"/>
                <w:lang w:val="id-ID"/>
              </w:rPr>
              <w:t>Electrical impedance</w:t>
            </w:r>
          </w:p>
        </w:tc>
        <w:tc>
          <w:tcPr>
            <w:tcW w:w="426" w:type="dxa"/>
            <w:vMerge/>
          </w:tcPr>
          <w:p w:rsidR="00E46CF1" w:rsidRPr="005A32AC" w:rsidRDefault="00E46CF1" w:rsidP="005A32AC">
            <w:pPr>
              <w:autoSpaceDE w:val="0"/>
              <w:spacing w:after="120"/>
              <w:ind w:right="14"/>
              <w:rPr>
                <w:b/>
                <w:sz w:val="20"/>
              </w:rPr>
            </w:pPr>
          </w:p>
        </w:tc>
        <w:tc>
          <w:tcPr>
            <w:tcW w:w="5103" w:type="dxa"/>
            <w:vMerge/>
          </w:tcPr>
          <w:p w:rsidR="00E46CF1" w:rsidRPr="005A32AC" w:rsidRDefault="00E46CF1" w:rsidP="005A32AC">
            <w:pPr>
              <w:autoSpaceDE w:val="0"/>
              <w:spacing w:after="120"/>
              <w:ind w:right="14"/>
              <w:rPr>
                <w:b/>
                <w:sz w:val="20"/>
              </w:rPr>
            </w:pPr>
          </w:p>
        </w:tc>
      </w:tr>
    </w:tbl>
    <w:p w:rsidR="00D30871" w:rsidRPr="00E46CF1" w:rsidRDefault="00D30871" w:rsidP="00612CF4">
      <w:pPr>
        <w:sectPr w:rsidR="00D30871" w:rsidRPr="00E46CF1" w:rsidSect="008E79AF">
          <w:headerReference w:type="even" r:id="rId8"/>
          <w:headerReference w:type="default" r:id="rId9"/>
          <w:footerReference w:type="even" r:id="rId10"/>
          <w:footerReference w:type="default" r:id="rId11"/>
          <w:type w:val="continuous"/>
          <w:pgSz w:w="11909" w:h="16834" w:code="9"/>
          <w:pgMar w:top="1701" w:right="1701" w:bottom="1985" w:left="1701" w:header="1060" w:footer="1077" w:gutter="0"/>
          <w:cols w:space="381"/>
          <w:docGrid w:linePitch="360"/>
        </w:sectPr>
      </w:pPr>
    </w:p>
    <w:p w:rsidR="00F34950" w:rsidRDefault="00F34950" w:rsidP="00612CF4">
      <w:pPr>
        <w:sectPr w:rsidR="00F34950" w:rsidSect="0093359F">
          <w:type w:val="continuous"/>
          <w:pgSz w:w="11909" w:h="16834" w:code="9"/>
          <w:pgMar w:top="1701" w:right="1701" w:bottom="1985" w:left="1701" w:header="1060" w:footer="1242" w:gutter="0"/>
          <w:cols w:num="2" w:space="720" w:equalWidth="0">
            <w:col w:w="2694" w:space="381"/>
            <w:col w:w="5430"/>
          </w:cols>
          <w:docGrid w:linePitch="360"/>
        </w:sectPr>
      </w:pPr>
    </w:p>
    <w:p w:rsidR="00D30871" w:rsidRPr="002C3955" w:rsidRDefault="00D30871" w:rsidP="00D30871">
      <w:pPr>
        <w:pStyle w:val="Heading1"/>
        <w:suppressAutoHyphens/>
        <w:spacing w:after="60"/>
        <w:rPr>
          <w:i w:val="0"/>
          <w:sz w:val="22"/>
          <w:szCs w:val="22"/>
          <w:lang w:val="id-ID"/>
        </w:rPr>
      </w:pPr>
      <w:r w:rsidRPr="00175EEA">
        <w:rPr>
          <w:i w:val="0"/>
          <w:sz w:val="22"/>
          <w:szCs w:val="22"/>
        </w:rPr>
        <w:lastRenderedPageBreak/>
        <w:t>Penda</w:t>
      </w:r>
      <w:r w:rsidR="002C3955">
        <w:rPr>
          <w:i w:val="0"/>
          <w:sz w:val="22"/>
          <w:szCs w:val="22"/>
        </w:rPr>
        <w:t xml:space="preserve">huluan </w:t>
      </w:r>
    </w:p>
    <w:p w:rsidR="008714D3" w:rsidRDefault="004E08C2" w:rsidP="00301B16">
      <w:pPr>
        <w:ind w:firstLine="720"/>
        <w:jc w:val="both"/>
        <w:rPr>
          <w:sz w:val="22"/>
          <w:szCs w:val="22"/>
          <w:lang w:val="id-ID"/>
        </w:rPr>
      </w:pPr>
      <w:r>
        <w:rPr>
          <w:sz w:val="22"/>
          <w:szCs w:val="22"/>
          <w:lang w:val="id-ID"/>
        </w:rPr>
        <w:t>Darah lengkap</w:t>
      </w:r>
      <w:r w:rsidR="002C2406">
        <w:rPr>
          <w:sz w:val="22"/>
          <w:szCs w:val="22"/>
          <w:lang w:val="id-ID"/>
        </w:rPr>
        <w:t xml:space="preserve"> merupakan pemeriksaan yang</w:t>
      </w:r>
      <w:r>
        <w:rPr>
          <w:sz w:val="22"/>
          <w:szCs w:val="22"/>
          <w:lang w:val="id-ID"/>
        </w:rPr>
        <w:t xml:space="preserve"> </w:t>
      </w:r>
      <w:r w:rsidR="0067580E">
        <w:rPr>
          <w:sz w:val="22"/>
          <w:szCs w:val="22"/>
          <w:lang w:val="id-ID"/>
        </w:rPr>
        <w:t>paling banyak</w:t>
      </w:r>
      <w:r>
        <w:rPr>
          <w:sz w:val="22"/>
          <w:szCs w:val="22"/>
          <w:lang w:val="id-ID"/>
        </w:rPr>
        <w:t xml:space="preserve"> di</w:t>
      </w:r>
      <w:r w:rsidR="0067580E">
        <w:rPr>
          <w:sz w:val="22"/>
          <w:szCs w:val="22"/>
          <w:lang w:val="id-ID"/>
        </w:rPr>
        <w:t xml:space="preserve">lakukan </w:t>
      </w:r>
      <w:r>
        <w:rPr>
          <w:sz w:val="22"/>
          <w:szCs w:val="22"/>
          <w:lang w:val="id-ID"/>
        </w:rPr>
        <w:t xml:space="preserve"> laboratorium</w:t>
      </w:r>
      <w:r w:rsidR="002C2406">
        <w:rPr>
          <w:sz w:val="22"/>
          <w:szCs w:val="22"/>
          <w:lang w:val="id-ID"/>
        </w:rPr>
        <w:t xml:space="preserve">. </w:t>
      </w:r>
      <w:r w:rsidR="008714D3">
        <w:rPr>
          <w:sz w:val="22"/>
          <w:szCs w:val="22"/>
          <w:lang w:val="id-ID"/>
        </w:rPr>
        <w:t xml:space="preserve">Pemeriksaan </w:t>
      </w:r>
      <w:r>
        <w:rPr>
          <w:sz w:val="22"/>
          <w:szCs w:val="22"/>
          <w:lang w:val="id-ID"/>
        </w:rPr>
        <w:t>darah lengkap</w:t>
      </w:r>
      <w:r w:rsidR="008714D3">
        <w:rPr>
          <w:sz w:val="22"/>
          <w:szCs w:val="22"/>
          <w:lang w:val="id-ID"/>
        </w:rPr>
        <w:t xml:space="preserve"> </w:t>
      </w:r>
      <w:r>
        <w:rPr>
          <w:sz w:val="22"/>
          <w:szCs w:val="22"/>
          <w:lang w:val="id-ID"/>
        </w:rPr>
        <w:t>biasanya</w:t>
      </w:r>
      <w:r w:rsidR="008714D3">
        <w:rPr>
          <w:sz w:val="22"/>
          <w:szCs w:val="22"/>
          <w:lang w:val="id-ID"/>
        </w:rPr>
        <w:t xml:space="preserve"> digunakan</w:t>
      </w:r>
      <w:r>
        <w:rPr>
          <w:sz w:val="22"/>
          <w:szCs w:val="22"/>
          <w:lang w:val="id-ID"/>
        </w:rPr>
        <w:t xml:space="preserve"> sebagai deteksi awal</w:t>
      </w:r>
      <w:r w:rsidR="008714D3">
        <w:rPr>
          <w:sz w:val="22"/>
          <w:szCs w:val="22"/>
          <w:lang w:val="id-ID"/>
        </w:rPr>
        <w:t xml:space="preserve"> </w:t>
      </w:r>
      <w:r w:rsidR="00522B40">
        <w:rPr>
          <w:sz w:val="22"/>
          <w:szCs w:val="22"/>
          <w:lang w:val="id-ID"/>
        </w:rPr>
        <w:t>dalam mendiagnosa penyakit</w:t>
      </w:r>
      <w:r>
        <w:rPr>
          <w:sz w:val="22"/>
          <w:szCs w:val="22"/>
          <w:lang w:val="id-ID"/>
        </w:rPr>
        <w:t xml:space="preserve"> atau sebagai monitoring kondisi pasien</w:t>
      </w:r>
      <w:r w:rsidR="00EE0CEE">
        <w:rPr>
          <w:sz w:val="22"/>
          <w:szCs w:val="22"/>
          <w:lang w:val="id-ID"/>
        </w:rPr>
        <w:t xml:space="preserve"> </w:t>
      </w:r>
      <w:r w:rsidR="00581800">
        <w:rPr>
          <w:sz w:val="22"/>
          <w:szCs w:val="22"/>
          <w:lang w:val="id-ID"/>
        </w:rPr>
        <w:fldChar w:fldCharType="begin" w:fldLock="1"/>
      </w:r>
      <w:r w:rsidR="004345F3">
        <w:rPr>
          <w:sz w:val="22"/>
          <w:szCs w:val="22"/>
          <w:lang w:val="id-ID"/>
        </w:rPr>
        <w:instrText>ADDIN CSL_CITATION { "citationItems" : [ { "id" : "ITEM-1", "itemData" : { "DOI" : "10.1053/jpan.2003.50013", "ISSN" : "1089-9472", "PMID" : "12710004", "abstract" : "The complete blood count (CBC) with differential is one of the most common laboratory tests performed today. It gives information about the production of all blood cells and identifies the patient's oxygen-carrying capacity through the evaluation of red blood cell (RBC) indices, hemoglobin, and hematocrit. It also provides information about the immune system through the evaluation of the white blood cell (WBC) count with differential. These tests are helpful in diagnosing anemia, certain cancers, infection, acute hemorrhagic states, allergies, and immunodeficiencies as well as monitoring for side effects of certain drugs that cause blood dyscrasias. Nurses in the perianesthesia arena are frequently challenged to obtain and evaluate all or parts of the CBC as a part of the patient's preoperative, intraoperative, and postoperative assessments. An enhanced understanding of this laboratory test is essential to providing quality care.", "author" : [ { "dropping-particle" : "", "family" : "George-Gay", "given" : "Beverly", "non-dropping-particle" : "", "parse-names" : false, "suffix" : "" }, { "dropping-particle" : "", "family" : "Parker", "given" : "Katherine", "non-dropping-particle" : "", "parse-names" : false, "suffix" : "" } ], "container-title" : "Journal of perianesthesia nursing : official journal of the American Society of PeriAnesthesia Nurses", "id" : "ITEM-1", "issue" : "2", "issued" : { "date-parts" : [ [ "2003", "4", "1" ] ] }, "page" : "96-114; quiz 115-7", "publisher" : "Elsevier", "title" : "Understanding the complete blood count with differential.", "type" : "article-journal", "volume" : "18" }, "uris" : [ "http://www.mendeley.com/documents/?uuid=56c0ddb1-0f10-3df3-88c8-de9928eb1d66" ] } ], "mendeley" : { "formattedCitation" : "(George-Gay and Parker, 2003)", "plainTextFormattedCitation" : "(George-Gay and Parker, 2003)", "previouslyFormattedCitation" : "(George-Gay and Parker, 2003)" }, "properties" : {  }, "schema" : "https://github.com/citation-style-language/schema/raw/master/csl-citation.json" }</w:instrText>
      </w:r>
      <w:r w:rsidR="00581800">
        <w:rPr>
          <w:sz w:val="22"/>
          <w:szCs w:val="22"/>
          <w:lang w:val="id-ID"/>
        </w:rPr>
        <w:fldChar w:fldCharType="separate"/>
      </w:r>
      <w:r w:rsidR="00EE0CEE" w:rsidRPr="00EE0CEE">
        <w:rPr>
          <w:noProof/>
          <w:sz w:val="22"/>
          <w:szCs w:val="22"/>
          <w:lang w:val="id-ID"/>
        </w:rPr>
        <w:t>(George-Gay and Parker, 2003)</w:t>
      </w:r>
      <w:r w:rsidR="00581800">
        <w:rPr>
          <w:sz w:val="22"/>
          <w:szCs w:val="22"/>
          <w:lang w:val="id-ID"/>
        </w:rPr>
        <w:fldChar w:fldCharType="end"/>
      </w:r>
      <w:r w:rsidR="00EE0CEE">
        <w:rPr>
          <w:sz w:val="22"/>
          <w:szCs w:val="22"/>
          <w:lang w:val="id-ID"/>
        </w:rPr>
        <w:t>.</w:t>
      </w:r>
      <w:r w:rsidR="00522B40">
        <w:rPr>
          <w:sz w:val="22"/>
          <w:szCs w:val="22"/>
          <w:lang w:val="id-ID"/>
        </w:rPr>
        <w:t xml:space="preserve"> </w:t>
      </w:r>
      <w:r>
        <w:rPr>
          <w:sz w:val="22"/>
          <w:szCs w:val="22"/>
          <w:lang w:val="id-ID"/>
        </w:rPr>
        <w:t>Pentingnya peran tersebut s</w:t>
      </w:r>
      <w:r w:rsidR="008714D3">
        <w:rPr>
          <w:sz w:val="22"/>
          <w:szCs w:val="22"/>
          <w:lang w:val="id-ID"/>
        </w:rPr>
        <w:t xml:space="preserve">ehingga </w:t>
      </w:r>
      <w:r>
        <w:rPr>
          <w:sz w:val="22"/>
          <w:szCs w:val="22"/>
          <w:lang w:val="id-ID"/>
        </w:rPr>
        <w:t>membutuhkan</w:t>
      </w:r>
      <w:r w:rsidR="008714D3">
        <w:rPr>
          <w:sz w:val="22"/>
          <w:szCs w:val="22"/>
          <w:lang w:val="id-ID"/>
        </w:rPr>
        <w:t xml:space="preserve"> kecepatan dan keakuratan dalam </w:t>
      </w:r>
      <w:r w:rsidR="00301B16">
        <w:rPr>
          <w:sz w:val="22"/>
          <w:szCs w:val="22"/>
          <w:lang w:val="id-ID"/>
        </w:rPr>
        <w:t xml:space="preserve">pemeriksaan </w:t>
      </w:r>
      <w:r>
        <w:rPr>
          <w:sz w:val="22"/>
          <w:szCs w:val="22"/>
          <w:lang w:val="id-ID"/>
        </w:rPr>
        <w:t>darah lengkap</w:t>
      </w:r>
      <w:r w:rsidR="008714D3">
        <w:rPr>
          <w:sz w:val="22"/>
          <w:szCs w:val="22"/>
          <w:lang w:val="id-ID"/>
        </w:rPr>
        <w:t>.</w:t>
      </w:r>
      <w:r w:rsidR="0067580E">
        <w:rPr>
          <w:sz w:val="22"/>
          <w:szCs w:val="22"/>
          <w:lang w:val="id-ID"/>
        </w:rPr>
        <w:t xml:space="preserve"> </w:t>
      </w:r>
    </w:p>
    <w:p w:rsidR="007C1971" w:rsidRDefault="008714D3" w:rsidP="00301B16">
      <w:pPr>
        <w:ind w:firstLine="720"/>
        <w:jc w:val="both"/>
        <w:rPr>
          <w:sz w:val="22"/>
          <w:szCs w:val="22"/>
          <w:lang w:val="id-ID"/>
        </w:rPr>
      </w:pPr>
      <w:r>
        <w:rPr>
          <w:sz w:val="22"/>
          <w:szCs w:val="22"/>
          <w:lang w:val="id-ID"/>
        </w:rPr>
        <w:t>Hematology analyzer merupakan al</w:t>
      </w:r>
      <w:r w:rsidR="004E08C2">
        <w:rPr>
          <w:sz w:val="22"/>
          <w:szCs w:val="22"/>
          <w:lang w:val="id-ID"/>
        </w:rPr>
        <w:t>at untuk pemeriksaan darah lengkap</w:t>
      </w:r>
      <w:r w:rsidR="00FE772B">
        <w:rPr>
          <w:sz w:val="22"/>
          <w:szCs w:val="22"/>
          <w:lang w:val="id-ID"/>
        </w:rPr>
        <w:t xml:space="preserve"> yang memiliki kecepatan dan tingkat keakuratan yang cukup baik</w:t>
      </w:r>
      <w:r>
        <w:rPr>
          <w:sz w:val="22"/>
          <w:szCs w:val="22"/>
          <w:lang w:val="id-ID"/>
        </w:rPr>
        <w:t>.</w:t>
      </w:r>
      <w:r w:rsidR="0068565D">
        <w:rPr>
          <w:sz w:val="22"/>
          <w:szCs w:val="22"/>
          <w:lang w:val="id-ID"/>
        </w:rPr>
        <w:t xml:space="preserve"> Alat ini dapat mengurangi waktu pemeriksaan dari 30 menit menggunakan metode manual menjadi 15 detik</w:t>
      </w:r>
      <w:r w:rsidR="0008036A">
        <w:rPr>
          <w:sz w:val="22"/>
          <w:szCs w:val="22"/>
          <w:lang w:val="id-ID"/>
        </w:rPr>
        <w:t xml:space="preserve"> dan dapat mengurangi kesalahan</w:t>
      </w:r>
      <w:r w:rsidR="004345F3">
        <w:rPr>
          <w:sz w:val="22"/>
          <w:szCs w:val="22"/>
          <w:lang w:val="id-ID"/>
        </w:rPr>
        <w:t xml:space="preserve"> </w:t>
      </w:r>
      <w:r w:rsidR="00581800">
        <w:rPr>
          <w:sz w:val="22"/>
          <w:szCs w:val="22"/>
          <w:lang w:val="id-ID"/>
        </w:rPr>
        <w:lastRenderedPageBreak/>
        <w:fldChar w:fldCharType="begin" w:fldLock="1"/>
      </w:r>
      <w:r w:rsidR="004345F3">
        <w:rPr>
          <w:sz w:val="22"/>
          <w:szCs w:val="22"/>
          <w:lang w:val="id-ID"/>
        </w:rPr>
        <w:instrText>ADDIN CSL_CITATION { "citationItems" : [ { "id" : "ITEM-1", "itemData" : { "DOI" : "10.1590/S1676-24442014000100004", "ISBN" : "1080-2924 (Print)\\r1080-2924 (Linking)", "ISSN" : "1676-2444", "PMID" : "16024334", "abstract" : "The Sysmex pocH-100i automated hematology analyzer was evaluated at St. John's Regional Health Center, Springfield, Missouri, USA, and compared with the Sysmex KX-21N. The pocH-100i is a compact, fully automated hematology analyzer with the capability for simultaneous analysis of 17 parameters in the whole-blood mode. The touch screen liquid crystal display presents results, and the 3 histograms for white blood cell (WBC), red blood cell (RBC), and platelet (PLT) counts can be printed along with numerical results. This study was performed to provide necessary information for the US Food and Drug Administration study of allowing the product's use in the North American marketplace. The pocH-100i processes approximately 25 samples/hour, uses 2 reagents, and provides for testing in a closed-tube environment, while using only 15 microL in the whole-blood mode and 20 microL in the predilute mode. Using hydrodynamic focusing on the pocH-100i improves the accuracy for RBC and PLT measurements. Our evaluation included studies of correlation, carryover, reproducibility, linearity, and stability. Results with the pocH-100i showed good correlation with those from the KX-21N for the following parameters: WBC; numbers and percentages of lymphocytes, mixed cells (monocytes, eosinophils, and basophils), and neutrophils; RBC; hemoglobin; hematocrit; mean corpuscular volume; mean corpuscular hemoglobin; mean corpuscular hemoglobin concentration; PLT; red cell distribution width SD (RDW-SD); RDW coefficient of variation; and mean platelet volume. Carryover and reproducibility were well within the manufacturer's specifications. The pocH-100i showed linearity over the entire range for all parameters studied. A reference range for a healthy population was also established. We conclude that the overall performance of the pocH-100i is excellent and compares favorably with that of the KX-21N.", "author" : [ { "dropping-particle" : "", "family" : "Maciel", "given" : "Tavany Elisa Santos", "non-dropping-particle" : "", "parse-names" : false, "suffix" : "" }, { "dropping-particle" : "", "family" : "Comar", "given" : "Samuel Ricardo", "non-dropping-particle" : "", "parse-names" : false, "suffix" : "" }, { "dropping-particle" : "", "family" : "Beltrame", "given" : "Miriam Perlingeiro", "non-dropping-particle" : "", "parse-names" : false, "suffix" : "" } ], "container-title" : "Jornal Brasileiro de Patologia e Medicina Laboratorial", "id" : "ITEM-1", "issue" : "1", "issued" : { "date-parts" : [ [ "2014" ] ] }, "page" : "26-35", "title" : "Performance evaluation of the Sysmex\u00ae XE-2100D automated hematology analyzer", "type" : "article-journal", "volume" : "50" }, "uris" : [ "http://www.mendeley.com/documents/?uuid=a3920bf8-1bfa-4749-8fef-5baab5d73fc5" ] } ], "mendeley" : { "formattedCitation" : "(Maciel, Comar and Beltrame, 2014)", "plainTextFormattedCitation" : "(Maciel, Comar and Beltrame, 2014)", "previouslyFormattedCitation" : "(Maciel, Comar and Beltrame, 2014)" }, "properties" : {  }, "schema" : "https://github.com/citation-style-language/schema/raw/master/csl-citation.json" }</w:instrText>
      </w:r>
      <w:r w:rsidR="00581800">
        <w:rPr>
          <w:sz w:val="22"/>
          <w:szCs w:val="22"/>
          <w:lang w:val="id-ID"/>
        </w:rPr>
        <w:fldChar w:fldCharType="separate"/>
      </w:r>
      <w:r w:rsidR="004345F3" w:rsidRPr="004345F3">
        <w:rPr>
          <w:noProof/>
          <w:sz w:val="22"/>
          <w:szCs w:val="22"/>
          <w:lang w:val="id-ID"/>
        </w:rPr>
        <w:t>(Maciel, Comar and Beltrame, 2014)</w:t>
      </w:r>
      <w:r w:rsidR="00581800">
        <w:rPr>
          <w:sz w:val="22"/>
          <w:szCs w:val="22"/>
          <w:lang w:val="id-ID"/>
        </w:rPr>
        <w:fldChar w:fldCharType="end"/>
      </w:r>
      <w:r w:rsidR="0068565D">
        <w:rPr>
          <w:sz w:val="22"/>
          <w:szCs w:val="22"/>
          <w:lang w:val="id-ID"/>
        </w:rPr>
        <w:t>.</w:t>
      </w:r>
      <w:r>
        <w:rPr>
          <w:sz w:val="22"/>
          <w:szCs w:val="22"/>
          <w:lang w:val="id-ID"/>
        </w:rPr>
        <w:t xml:space="preserve"> Prinsip kerja dari alat tersebut salah satunya menggunakan </w:t>
      </w:r>
      <w:r w:rsidR="0068565D">
        <w:rPr>
          <w:i/>
          <w:sz w:val="22"/>
          <w:szCs w:val="22"/>
          <w:lang w:val="id-ID"/>
        </w:rPr>
        <w:t>Electrical impedance</w:t>
      </w:r>
      <w:r w:rsidR="00C87F54">
        <w:rPr>
          <w:sz w:val="22"/>
          <w:szCs w:val="22"/>
          <w:lang w:val="id-ID"/>
        </w:rPr>
        <w:t xml:space="preserve"> yaitu sel</w:t>
      </w:r>
      <w:r w:rsidR="00522B40">
        <w:rPr>
          <w:sz w:val="22"/>
          <w:szCs w:val="22"/>
          <w:lang w:val="id-ID"/>
        </w:rPr>
        <w:t xml:space="preserve"> darah</w:t>
      </w:r>
      <w:r w:rsidR="00C87F54">
        <w:rPr>
          <w:sz w:val="22"/>
          <w:szCs w:val="22"/>
          <w:lang w:val="id-ID"/>
        </w:rPr>
        <w:t xml:space="preserve"> digunakan sebagai penghambat arus listrik, hambatan yang semakin besar </w:t>
      </w:r>
      <w:r w:rsidR="00522B40">
        <w:rPr>
          <w:sz w:val="22"/>
          <w:szCs w:val="22"/>
          <w:lang w:val="id-ID"/>
        </w:rPr>
        <w:t xml:space="preserve">berbanding lurus dengan </w:t>
      </w:r>
      <w:r w:rsidR="0010794C">
        <w:rPr>
          <w:sz w:val="22"/>
          <w:szCs w:val="22"/>
          <w:lang w:val="id-ID"/>
        </w:rPr>
        <w:t>ukuran sel.</w:t>
      </w:r>
      <w:r w:rsidR="00581800">
        <w:rPr>
          <w:sz w:val="22"/>
          <w:szCs w:val="22"/>
          <w:lang w:val="id-ID"/>
        </w:rPr>
        <w:fldChar w:fldCharType="begin" w:fldLock="1"/>
      </w:r>
      <w:r w:rsidR="004345F3">
        <w:rPr>
          <w:sz w:val="22"/>
          <w:szCs w:val="22"/>
          <w:lang w:val="id-ID"/>
        </w:rPr>
        <w:instrText>ADDIN CSL_CITATION { "citationItems" : [ { "id" : "ITEM-1", "itemData" : { "DOI" : "10.1017/CBO9781107415324.004", "ISBN" : "0-316-85623-1", "ISSN" : "1098-6596", "PMID" : "25246403", "abstract" : "This twenty-seven-chapter text provides the basic scientific concepts, procedural theory, and clinical applications of hematological techniques. Chapters in the revised and updated third-edition book are organized into six parts under the following headings: the principles of hematology, erythrocytes, leukocytes, additional groups of clonal disorders, fundamentals of hematologic analysis, and principles and disorders of homeostasis and thrombosis. Each chapter includes a topical outline, objectives, case studies, review questions, and a bibliography. Procedures examined in the text are according to the format suggested by the National Commission for Clinical Laboratory Standards, USA. The book is adequately illustrated and contains a glossary, a subject index, Internet home page addresses of major equipment manufacturers, and appendices providing answers to review questions, basics of medical terminology, and SI units. Laboratory technicians in need of cross-training, medical technologists, and students and faculty in medical laboratory science, medical office assisting, physician assisting, and nursing courses will find this volume informative.", "author" : [ { "dropping-particle" : "", "family" : "Turgeon", "given" : "Mary L", "non-dropping-particle" : "", "parse-names" : false, "suffix" : "" }, { "dropping-particle" : "", "family" : "Turgeon", "given" : "M L", "non-dropping-particle" : "", "parse-names" : false, "suffix" : "" } ], "container-title" : "Clinical hematology: Theory and procedures, Third edition", "id" : "ITEM-1", "issued" : { "date-parts" : [ [ "1999" ] ] }, "number-of-pages" : "xii+480p", "title" : "Clinical hematology: Theory and procedures, Third edition", "type" : "book" }, "uris" : [ "http://www.mendeley.com/documents/?uuid=ccff530f-3c4f-472d-affe-b347b8f0e423" ] } ], "mendeley" : { "formattedCitation" : "(Turgeon and Turgeon, 1999)", "plainTextFormattedCitation" : "(Turgeon and Turgeon, 1999)", "previouslyFormattedCitation" : "(Turgeon and Turgeon, 1999)" }, "properties" : {  }, "schema" : "https://github.com/citation-style-language/schema/raw/master/csl-citation.json" }</w:instrText>
      </w:r>
      <w:r w:rsidR="00581800">
        <w:rPr>
          <w:sz w:val="22"/>
          <w:szCs w:val="22"/>
          <w:lang w:val="id-ID"/>
        </w:rPr>
        <w:fldChar w:fldCharType="separate"/>
      </w:r>
      <w:r w:rsidR="00EE0CEE" w:rsidRPr="00EE0CEE">
        <w:rPr>
          <w:noProof/>
          <w:sz w:val="22"/>
          <w:szCs w:val="22"/>
          <w:lang w:val="id-ID"/>
        </w:rPr>
        <w:t>(Turgeon and Turgeon, 1999)</w:t>
      </w:r>
      <w:r w:rsidR="00581800">
        <w:rPr>
          <w:sz w:val="22"/>
          <w:szCs w:val="22"/>
          <w:lang w:val="id-ID"/>
        </w:rPr>
        <w:fldChar w:fldCharType="end"/>
      </w:r>
    </w:p>
    <w:p w:rsidR="00593A4C" w:rsidRDefault="0010794C" w:rsidP="00A933E5">
      <w:pPr>
        <w:ind w:firstLine="357"/>
        <w:jc w:val="both"/>
        <w:rPr>
          <w:sz w:val="22"/>
          <w:szCs w:val="22"/>
          <w:lang w:val="id-ID"/>
        </w:rPr>
      </w:pPr>
      <w:r>
        <w:rPr>
          <w:sz w:val="22"/>
          <w:szCs w:val="22"/>
          <w:lang w:val="id-ID"/>
        </w:rPr>
        <w:t>Pada beberapa sel yang abnormal</w:t>
      </w:r>
      <w:r w:rsidR="0068565D">
        <w:rPr>
          <w:sz w:val="22"/>
          <w:szCs w:val="22"/>
          <w:lang w:val="id-ID"/>
        </w:rPr>
        <w:t xml:space="preserve"> (baik itu sel berukuran besar, kecil ataupun sel yang hancur atau lisis)</w:t>
      </w:r>
      <w:r>
        <w:rPr>
          <w:sz w:val="22"/>
          <w:szCs w:val="22"/>
          <w:lang w:val="id-ID"/>
        </w:rPr>
        <w:t xml:space="preserve">, </w:t>
      </w:r>
      <w:r w:rsidR="0068565D">
        <w:rPr>
          <w:sz w:val="22"/>
          <w:szCs w:val="22"/>
          <w:lang w:val="id-ID"/>
        </w:rPr>
        <w:t xml:space="preserve">hematology analyzer </w:t>
      </w:r>
      <w:r>
        <w:rPr>
          <w:sz w:val="22"/>
          <w:szCs w:val="22"/>
          <w:lang w:val="id-ID"/>
        </w:rPr>
        <w:t xml:space="preserve"> tidak mampu membacanya dengan baik sehingga memungkinkan kenaikan dibeberapa </w:t>
      </w:r>
      <w:r w:rsidR="004E08C2">
        <w:rPr>
          <w:sz w:val="22"/>
          <w:szCs w:val="22"/>
          <w:lang w:val="id-ID"/>
        </w:rPr>
        <w:t>parameter</w:t>
      </w:r>
      <w:r w:rsidR="001672D6">
        <w:rPr>
          <w:sz w:val="22"/>
          <w:szCs w:val="22"/>
          <w:lang w:val="id-ID"/>
        </w:rPr>
        <w:t xml:space="preserve"> pemeriksaan darah lengkap</w:t>
      </w:r>
      <w:r>
        <w:rPr>
          <w:sz w:val="22"/>
          <w:szCs w:val="22"/>
          <w:lang w:val="id-ID"/>
        </w:rPr>
        <w:t>.</w:t>
      </w:r>
      <w:r w:rsidR="00581800">
        <w:rPr>
          <w:sz w:val="22"/>
          <w:szCs w:val="22"/>
          <w:lang w:val="id-ID"/>
        </w:rPr>
        <w:fldChar w:fldCharType="begin" w:fldLock="1"/>
      </w:r>
      <w:r w:rsidR="004345F3">
        <w:rPr>
          <w:sz w:val="22"/>
          <w:szCs w:val="22"/>
          <w:lang w:val="id-ID"/>
        </w:rPr>
        <w:instrText>ADDIN CSL_CITATION { "citationItems" : [ { "id" : "ITEM-1", "itemData" : { "author" : [ { "dropping-particle" : "", "family" : "Dewi", "given" : "Devi Cynthia", "non-dropping-particle" : "", "parse-names" : false, "suffix" : "" }, { "dropping-particle" : "", "family" : "Durachim", "given" : "Adang", "non-dropping-particle" : "", "parse-names" : false, "suffix" : "" } ], "id" : "ITEM-1", "issue" : "4", "issued" : { "date-parts" : [ [ "2014" ] ] }, "page" : "262-264", "title" : "Analysis of Blood Sample Lysis Rate on Hemoglobin Examination Results Using Rayto Rt . 7600 Auto Hematology Analyzer", "type" : "article-journal", "volume" : "50" }, "uris" : [ "http://www.mendeley.com/documents/?uuid=b46692af-f375-4fc4-a7fd-ecba8285ba7f" ] } ], "mendeley" : { "formattedCitation" : "(Dewi and Durachim, 2014)", "plainTextFormattedCitation" : "(Dewi and Durachim, 2014)", "previouslyFormattedCitation" : "(Dewi and Durachim, 2014)" }, "properties" : {  }, "schema" : "https://github.com/citation-style-language/schema/raw/master/csl-citation.json" }</w:instrText>
      </w:r>
      <w:r w:rsidR="00581800">
        <w:rPr>
          <w:sz w:val="22"/>
          <w:szCs w:val="22"/>
          <w:lang w:val="id-ID"/>
        </w:rPr>
        <w:fldChar w:fldCharType="separate"/>
      </w:r>
      <w:r w:rsidR="00EE0CEE" w:rsidRPr="00EE0CEE">
        <w:rPr>
          <w:noProof/>
          <w:sz w:val="22"/>
          <w:szCs w:val="22"/>
          <w:lang w:val="id-ID"/>
        </w:rPr>
        <w:t>(Dewi and Durachim, 2014)</w:t>
      </w:r>
      <w:r w:rsidR="00581800">
        <w:rPr>
          <w:sz w:val="22"/>
          <w:szCs w:val="22"/>
          <w:lang w:val="id-ID"/>
        </w:rPr>
        <w:fldChar w:fldCharType="end"/>
      </w:r>
      <w:r w:rsidR="004E08C2">
        <w:rPr>
          <w:sz w:val="22"/>
          <w:szCs w:val="22"/>
          <w:lang w:val="id-ID"/>
        </w:rPr>
        <w:t xml:space="preserve"> </w:t>
      </w:r>
      <w:r>
        <w:rPr>
          <w:sz w:val="22"/>
          <w:szCs w:val="22"/>
          <w:lang w:val="id-ID"/>
        </w:rPr>
        <w:t xml:space="preserve"> </w:t>
      </w:r>
    </w:p>
    <w:p w:rsidR="006A3EA6" w:rsidRDefault="0067580E" w:rsidP="00844553">
      <w:pPr>
        <w:ind w:firstLine="357"/>
        <w:jc w:val="both"/>
        <w:rPr>
          <w:sz w:val="22"/>
          <w:szCs w:val="22"/>
          <w:lang w:val="id-ID"/>
        </w:rPr>
      </w:pPr>
      <w:r>
        <w:rPr>
          <w:sz w:val="22"/>
          <w:szCs w:val="22"/>
          <w:lang w:val="id-ID"/>
        </w:rPr>
        <w:t>Darah lisis atau dise</w:t>
      </w:r>
      <w:r w:rsidR="001672D6">
        <w:rPr>
          <w:sz w:val="22"/>
          <w:szCs w:val="22"/>
          <w:lang w:val="id-ID"/>
        </w:rPr>
        <w:t>but dengan hemolisis merupakan hancurnya sel darah disebabkan karena preparasi sampel yang salah.</w:t>
      </w:r>
      <w:r w:rsidR="00581800">
        <w:rPr>
          <w:sz w:val="22"/>
          <w:szCs w:val="22"/>
          <w:lang w:val="id-ID"/>
        </w:rPr>
        <w:fldChar w:fldCharType="begin" w:fldLock="1"/>
      </w:r>
      <w:r w:rsidR="004345F3">
        <w:rPr>
          <w:sz w:val="22"/>
          <w:szCs w:val="22"/>
          <w:lang w:val="id-ID"/>
        </w:rPr>
        <w:instrText>ADDIN CSL_CITATION { "citationItems" : [ { "id" : "ITEM-1", "itemData" : { "DOI" : "10.1016/C2011-0-04380-6", "ISBN" : "0124158587", "abstract" : "This practical, easy-to-use guide, named to Doody\u2019s Core Titles 2013, addresses interference issues in all laboratory tests, including patient epigenetics, process of specimen collection, enzymes, biomarkers. Clinicians and laboratory scientists can therefore rely on one reference which speaks to both their needs of accurate specimen analysis and optimal patient care. Erroneous hospital and pathology laboratory results can be confusing and problematic, especially in acute care situations. While some factors creating interference, can be identified in the laboratory, detecting many others is often dependent on clinical details unavailable to the laboratory scientists or pathologists. Therefore, clinicians must become proficient in identifying such erroneous reports, and working with pathologists and laboratory scientists so that they can understand the source of such interferences, correct the results, and then decide what course of action must be followed for proper patient management.Named to Doody\u2019s Core Titles 2013, a collection development tool for health sciences libraries of all sizes, by Doody EnterprisesPractical information for both clinicians and laboratory scientists, presented in the form of tables and charts for easy referenceFocus on range and sources of interferences rather than details of toxicologic mechanisms which are well covered in toxicology textbooksCovers interferences across endocrine, oncology, hematology, immunohistochemistry, immunology, serology, microbiology, and molecular testing", "author" : [ { "dropping-particle" : "", "family" : "Dasgupta", "given" : "Amitava", "non-dropping-particle" : "", "parse-names" : false, "suffix" : "" }, { "dropping-particle" : "", "family" : "Sepulveda", "given" : "Jorgel L.", "non-dropping-particle" : "", "parse-names" : false, "suffix" : "" } ], "id" : "ITEM-1", "issued" : { "date-parts" : [ [ "2013" ] ] }, "number-of-pages" : "382", "title" : "Accurate Results in the Clinical Laboratory: A Guide to Error Detection and Correction", "type" : "book" }, "uris" : [ "http://www.mendeley.com/documents/?uuid=d4c745c4-6790-44a6-91e3-22dcc0abd730" ] } ], "mendeley" : { "formattedCitation" : "(Dasgupta and Sepulveda, 2013)", "plainTextFormattedCitation" : "(Dasgupta and Sepulveda, 2013)", "previouslyFormattedCitation" : "(Dasgupta and Sepulveda, 2013)" }, "properties" : {  }, "schema" : "https://github.com/citation-style-language/schema/raw/master/csl-citation.json" }</w:instrText>
      </w:r>
      <w:r w:rsidR="00581800">
        <w:rPr>
          <w:sz w:val="22"/>
          <w:szCs w:val="22"/>
          <w:lang w:val="id-ID"/>
        </w:rPr>
        <w:fldChar w:fldCharType="separate"/>
      </w:r>
      <w:r w:rsidR="00EE0CEE" w:rsidRPr="00EE0CEE">
        <w:rPr>
          <w:noProof/>
          <w:sz w:val="22"/>
          <w:szCs w:val="22"/>
          <w:lang w:val="id-ID"/>
        </w:rPr>
        <w:t>(Dasgupta and Sepulveda, 2013)</w:t>
      </w:r>
      <w:r w:rsidR="00581800">
        <w:rPr>
          <w:sz w:val="22"/>
          <w:szCs w:val="22"/>
          <w:lang w:val="id-ID"/>
        </w:rPr>
        <w:fldChar w:fldCharType="end"/>
      </w:r>
      <w:r w:rsidR="001672D6">
        <w:rPr>
          <w:sz w:val="22"/>
          <w:szCs w:val="22"/>
          <w:lang w:val="id-ID"/>
        </w:rPr>
        <w:t xml:space="preserve"> Darah </w:t>
      </w:r>
      <w:r w:rsidR="001672D6">
        <w:rPr>
          <w:sz w:val="22"/>
          <w:szCs w:val="22"/>
          <w:lang w:val="id-ID"/>
        </w:rPr>
        <w:lastRenderedPageBreak/>
        <w:t xml:space="preserve">yang lisis atau hancur tersebut menjadi partikel kecil sehingga terbaca pada hematology analyzer sebagai trombosit. Penelitian ini bertujuan untuk </w:t>
      </w:r>
      <w:r w:rsidR="006208C5">
        <w:rPr>
          <w:sz w:val="22"/>
          <w:szCs w:val="22"/>
          <w:lang w:val="id-ID"/>
        </w:rPr>
        <w:t>mengetahui nilai trombosit berdasarkan tingkatan hemolisis.</w:t>
      </w:r>
    </w:p>
    <w:p w:rsidR="00FC54F8" w:rsidRDefault="00FC54F8" w:rsidP="00FC54F8">
      <w:pPr>
        <w:pStyle w:val="Heading1"/>
        <w:suppressAutoHyphens/>
        <w:rPr>
          <w:i w:val="0"/>
          <w:sz w:val="22"/>
          <w:szCs w:val="22"/>
          <w:lang w:val="id-ID"/>
        </w:rPr>
      </w:pPr>
      <w:r>
        <w:rPr>
          <w:i w:val="0"/>
          <w:sz w:val="22"/>
          <w:szCs w:val="22"/>
          <w:lang w:val="id-ID"/>
        </w:rPr>
        <w:t xml:space="preserve">Bahan dan </w:t>
      </w:r>
      <w:r w:rsidRPr="00811E7C">
        <w:rPr>
          <w:i w:val="0"/>
          <w:sz w:val="22"/>
          <w:szCs w:val="22"/>
        </w:rPr>
        <w:t>Metode</w:t>
      </w:r>
    </w:p>
    <w:p w:rsidR="00161B59" w:rsidRDefault="00161B59" w:rsidP="00161B59">
      <w:pPr>
        <w:jc w:val="both"/>
        <w:rPr>
          <w:sz w:val="22"/>
          <w:szCs w:val="22"/>
          <w:lang w:val="id-ID"/>
        </w:rPr>
      </w:pPr>
      <w:r>
        <w:rPr>
          <w:lang w:val="id-ID"/>
        </w:rPr>
        <w:tab/>
      </w:r>
      <w:r w:rsidRPr="00161B59">
        <w:rPr>
          <w:sz w:val="22"/>
          <w:szCs w:val="22"/>
          <w:lang w:val="id-ID"/>
        </w:rPr>
        <w:t>Penelitian ini</w:t>
      </w:r>
      <w:r>
        <w:rPr>
          <w:sz w:val="22"/>
          <w:szCs w:val="22"/>
          <w:lang w:val="id-ID"/>
        </w:rPr>
        <w:t xml:space="preserve"> merupakan penelitian eksperimental dengan jumlah sampel darah sebanyak 10 orang</w:t>
      </w:r>
      <w:r w:rsidR="00821982">
        <w:rPr>
          <w:sz w:val="22"/>
          <w:szCs w:val="22"/>
          <w:lang w:val="id-ID"/>
        </w:rPr>
        <w:t xml:space="preserve"> mahasiswa D4 Analis Kesehatan, Universitas Muhammadiyah Semarang</w:t>
      </w:r>
      <w:r>
        <w:rPr>
          <w:sz w:val="22"/>
          <w:szCs w:val="22"/>
          <w:lang w:val="id-ID"/>
        </w:rPr>
        <w:t xml:space="preserve">. </w:t>
      </w:r>
      <w:r w:rsidR="00EE0CEE">
        <w:rPr>
          <w:sz w:val="22"/>
          <w:szCs w:val="22"/>
          <w:lang w:val="id-ID"/>
        </w:rPr>
        <w:t>Prosedur d</w:t>
      </w:r>
      <w:r>
        <w:rPr>
          <w:sz w:val="22"/>
          <w:szCs w:val="22"/>
          <w:lang w:val="id-ID"/>
        </w:rPr>
        <w:t xml:space="preserve">arah yang </w:t>
      </w:r>
      <w:r w:rsidR="00EE0CEE">
        <w:rPr>
          <w:sz w:val="22"/>
          <w:szCs w:val="22"/>
          <w:lang w:val="id-ID"/>
        </w:rPr>
        <w:t xml:space="preserve">dilisiskan mengikuti penelitian Dewi dan Durachim (2014) dimana darah </w:t>
      </w:r>
      <w:r>
        <w:rPr>
          <w:sz w:val="22"/>
          <w:szCs w:val="22"/>
          <w:lang w:val="id-ID"/>
        </w:rPr>
        <w:t xml:space="preserve">akan dilisiskan secara bertingkat dengan penambahan NaCl masing masing </w:t>
      </w:r>
      <w:r w:rsidR="00F740FC">
        <w:rPr>
          <w:sz w:val="22"/>
          <w:szCs w:val="22"/>
          <w:lang w:val="id-ID"/>
        </w:rPr>
        <w:t xml:space="preserve">dengan konsentrasi </w:t>
      </w:r>
      <w:r>
        <w:rPr>
          <w:sz w:val="22"/>
          <w:szCs w:val="22"/>
          <w:lang w:val="id-ID"/>
        </w:rPr>
        <w:t>0,21%</w:t>
      </w:r>
      <w:r w:rsidR="00F740FC">
        <w:rPr>
          <w:sz w:val="22"/>
          <w:szCs w:val="22"/>
          <w:lang w:val="id-ID"/>
        </w:rPr>
        <w:t xml:space="preserve"> (lisis berat)</w:t>
      </w:r>
      <w:r>
        <w:rPr>
          <w:sz w:val="22"/>
          <w:szCs w:val="22"/>
          <w:lang w:val="id-ID"/>
        </w:rPr>
        <w:t>, 0,43%</w:t>
      </w:r>
      <w:r w:rsidR="00F740FC">
        <w:rPr>
          <w:sz w:val="22"/>
          <w:szCs w:val="22"/>
          <w:lang w:val="id-ID"/>
        </w:rPr>
        <w:t xml:space="preserve"> (lisis sedang)</w:t>
      </w:r>
      <w:r>
        <w:rPr>
          <w:sz w:val="22"/>
          <w:szCs w:val="22"/>
          <w:lang w:val="id-ID"/>
        </w:rPr>
        <w:t>, 0,64%</w:t>
      </w:r>
      <w:r w:rsidR="00F740FC">
        <w:rPr>
          <w:sz w:val="22"/>
          <w:szCs w:val="22"/>
          <w:lang w:val="id-ID"/>
        </w:rPr>
        <w:t xml:space="preserve"> (lisis ringan)</w:t>
      </w:r>
      <w:r>
        <w:rPr>
          <w:sz w:val="22"/>
          <w:szCs w:val="22"/>
          <w:lang w:val="id-ID"/>
        </w:rPr>
        <w:t>, dan NaCl fisiologis</w:t>
      </w:r>
      <w:r w:rsidR="00374C9B">
        <w:rPr>
          <w:sz w:val="22"/>
          <w:szCs w:val="22"/>
          <w:lang w:val="id-ID"/>
        </w:rPr>
        <w:t xml:space="preserve"> 0,85% (Normal)</w:t>
      </w:r>
      <w:r w:rsidR="00EE0CEE">
        <w:rPr>
          <w:sz w:val="22"/>
          <w:szCs w:val="22"/>
          <w:lang w:val="id-ID"/>
        </w:rPr>
        <w:t xml:space="preserve"> sebanyak 0,2 ml dengan penambahan darah K</w:t>
      </w:r>
      <w:r w:rsidR="00EE0CEE" w:rsidRPr="00EE0CEE">
        <w:rPr>
          <w:sz w:val="22"/>
          <w:szCs w:val="22"/>
          <w:vertAlign w:val="subscript"/>
          <w:lang w:val="id-ID"/>
        </w:rPr>
        <w:t>2</w:t>
      </w:r>
      <w:r w:rsidR="00EE0CEE">
        <w:rPr>
          <w:sz w:val="22"/>
          <w:szCs w:val="22"/>
          <w:lang w:val="id-ID"/>
        </w:rPr>
        <w:t>EDTA sebanyak 0,5 ml</w:t>
      </w:r>
      <w:r>
        <w:rPr>
          <w:sz w:val="22"/>
          <w:szCs w:val="22"/>
          <w:lang w:val="id-ID"/>
        </w:rPr>
        <w:t>.</w:t>
      </w:r>
      <w:r w:rsidR="00EE0CEE">
        <w:rPr>
          <w:sz w:val="22"/>
          <w:szCs w:val="22"/>
          <w:lang w:val="id-ID"/>
        </w:rPr>
        <w:t xml:space="preserve"> Darah yang sudah dilisiskan secara berturut turut diperiksa menggunakan alat </w:t>
      </w:r>
      <w:r w:rsidR="00EE0CEE" w:rsidRPr="00EE0CEE">
        <w:rPr>
          <w:i/>
          <w:sz w:val="22"/>
          <w:szCs w:val="22"/>
          <w:lang w:val="id-ID"/>
        </w:rPr>
        <w:t>Hematology Analyzer</w:t>
      </w:r>
      <w:r w:rsidR="00EE0CEE">
        <w:rPr>
          <w:sz w:val="22"/>
          <w:szCs w:val="22"/>
          <w:lang w:val="id-ID"/>
        </w:rPr>
        <w:t xml:space="preserve"> Mindray BC 2600 </w:t>
      </w:r>
      <w:r w:rsidR="00F740FC">
        <w:rPr>
          <w:sz w:val="22"/>
          <w:szCs w:val="22"/>
          <w:lang w:val="id-ID"/>
        </w:rPr>
        <w:t xml:space="preserve">sebagai alat yang mewakili </w:t>
      </w:r>
      <w:r w:rsidR="00821982">
        <w:rPr>
          <w:sz w:val="22"/>
          <w:szCs w:val="22"/>
          <w:lang w:val="id-ID"/>
        </w:rPr>
        <w:t xml:space="preserve">metode </w:t>
      </w:r>
      <w:r w:rsidR="0068565D">
        <w:rPr>
          <w:i/>
          <w:sz w:val="22"/>
          <w:szCs w:val="22"/>
          <w:lang w:val="id-ID"/>
        </w:rPr>
        <w:t>Electrical impedance</w:t>
      </w:r>
      <w:r w:rsidR="00821982">
        <w:rPr>
          <w:i/>
          <w:sz w:val="22"/>
          <w:szCs w:val="22"/>
          <w:lang w:val="id-ID"/>
        </w:rPr>
        <w:t>.</w:t>
      </w:r>
      <w:r w:rsidR="00821982">
        <w:rPr>
          <w:sz w:val="22"/>
          <w:szCs w:val="22"/>
          <w:lang w:val="id-ID"/>
        </w:rPr>
        <w:t xml:space="preserve"> Data yang akan dihasilkan kemudian diuji secara statistik menggunakan uji</w:t>
      </w:r>
      <w:r w:rsidR="00F740FC">
        <w:rPr>
          <w:sz w:val="22"/>
          <w:szCs w:val="22"/>
          <w:lang w:val="id-ID"/>
        </w:rPr>
        <w:t xml:space="preserve"> </w:t>
      </w:r>
      <w:r w:rsidR="00F740FC" w:rsidRPr="00F740FC">
        <w:rPr>
          <w:i/>
          <w:sz w:val="22"/>
          <w:szCs w:val="22"/>
          <w:lang w:val="id-ID"/>
        </w:rPr>
        <w:t>one way</w:t>
      </w:r>
      <w:r w:rsidR="00821982">
        <w:rPr>
          <w:sz w:val="22"/>
          <w:szCs w:val="22"/>
          <w:lang w:val="id-ID"/>
        </w:rPr>
        <w:t xml:space="preserve"> ANOVA.  </w:t>
      </w:r>
    </w:p>
    <w:p w:rsidR="00821982" w:rsidRPr="004D267C" w:rsidRDefault="00821982" w:rsidP="00821982">
      <w:pPr>
        <w:pStyle w:val="Heading1"/>
        <w:suppressAutoHyphens/>
        <w:rPr>
          <w:i w:val="0"/>
          <w:sz w:val="22"/>
          <w:szCs w:val="22"/>
          <w:lang w:val="id-ID"/>
        </w:rPr>
      </w:pPr>
      <w:r>
        <w:rPr>
          <w:i w:val="0"/>
          <w:sz w:val="22"/>
          <w:szCs w:val="22"/>
        </w:rPr>
        <w:t xml:space="preserve">Hasil </w:t>
      </w:r>
    </w:p>
    <w:p w:rsidR="00F740FC" w:rsidRDefault="00F740FC" w:rsidP="00821982">
      <w:pPr>
        <w:ind w:firstLine="357"/>
        <w:jc w:val="both"/>
        <w:rPr>
          <w:sz w:val="22"/>
          <w:szCs w:val="22"/>
          <w:lang w:val="id-ID"/>
        </w:rPr>
      </w:pPr>
      <w:r>
        <w:rPr>
          <w:sz w:val="22"/>
          <w:szCs w:val="22"/>
          <w:lang w:val="id-ID"/>
        </w:rPr>
        <w:t>Pada pengujian sampel didapatkan diskripsi sampel pada tabel dibawah ini.</w:t>
      </w:r>
    </w:p>
    <w:p w:rsidR="00623298" w:rsidRDefault="00623298" w:rsidP="00821982">
      <w:pPr>
        <w:ind w:firstLine="357"/>
        <w:jc w:val="both"/>
        <w:rPr>
          <w:sz w:val="22"/>
          <w:szCs w:val="22"/>
          <w:lang w:val="id-ID"/>
        </w:rPr>
      </w:pPr>
    </w:p>
    <w:p w:rsidR="00F740FC" w:rsidRDefault="00F740FC" w:rsidP="00F740FC">
      <w:pPr>
        <w:jc w:val="both"/>
        <w:rPr>
          <w:sz w:val="18"/>
          <w:szCs w:val="18"/>
          <w:lang w:val="id-ID"/>
        </w:rPr>
      </w:pPr>
      <w:r w:rsidRPr="00947F4A">
        <w:rPr>
          <w:sz w:val="18"/>
          <w:szCs w:val="18"/>
          <w:lang w:val="id-ID"/>
        </w:rPr>
        <w:t xml:space="preserve">Tabel 1. </w:t>
      </w:r>
      <w:r w:rsidR="00623298">
        <w:rPr>
          <w:sz w:val="18"/>
          <w:szCs w:val="18"/>
          <w:lang w:val="id-ID"/>
        </w:rPr>
        <w:t xml:space="preserve">Deskripsi Sampel </w:t>
      </w:r>
    </w:p>
    <w:tbl>
      <w:tblPr>
        <w:tblW w:w="4262" w:type="dxa"/>
        <w:jc w:val="center"/>
        <w:tblBorders>
          <w:top w:val="single" w:sz="4" w:space="0" w:color="000000"/>
          <w:bottom w:val="single" w:sz="4" w:space="0" w:color="000000"/>
          <w:insideH w:val="single" w:sz="4" w:space="0" w:color="000000"/>
        </w:tblBorders>
        <w:tblLook w:val="04A0"/>
      </w:tblPr>
      <w:tblGrid>
        <w:gridCol w:w="1537"/>
        <w:gridCol w:w="1189"/>
        <w:gridCol w:w="1536"/>
      </w:tblGrid>
      <w:tr w:rsidR="00F740FC" w:rsidRPr="00211A97" w:rsidTr="00FE4346">
        <w:trPr>
          <w:jc w:val="center"/>
        </w:trPr>
        <w:tc>
          <w:tcPr>
            <w:tcW w:w="1537" w:type="dxa"/>
            <w:tcBorders>
              <w:bottom w:val="single" w:sz="4" w:space="0" w:color="000000"/>
            </w:tcBorders>
            <w:vAlign w:val="center"/>
          </w:tcPr>
          <w:p w:rsidR="00F740FC" w:rsidRPr="00211A97" w:rsidRDefault="00623298" w:rsidP="00623298">
            <w:pPr>
              <w:spacing w:line="360" w:lineRule="auto"/>
              <w:jc w:val="center"/>
              <w:rPr>
                <w:sz w:val="18"/>
                <w:szCs w:val="18"/>
                <w:lang w:val="id-ID"/>
              </w:rPr>
            </w:pPr>
            <w:r>
              <w:rPr>
                <w:sz w:val="18"/>
                <w:szCs w:val="18"/>
                <w:lang w:val="id-ID"/>
              </w:rPr>
              <w:t>Lisis</w:t>
            </w:r>
          </w:p>
        </w:tc>
        <w:tc>
          <w:tcPr>
            <w:tcW w:w="1189" w:type="dxa"/>
            <w:tcBorders>
              <w:bottom w:val="single" w:sz="4" w:space="0" w:color="000000"/>
            </w:tcBorders>
            <w:vAlign w:val="center"/>
          </w:tcPr>
          <w:p w:rsidR="00F740FC" w:rsidRPr="00211A97" w:rsidRDefault="00623298" w:rsidP="00FE4346">
            <w:pPr>
              <w:spacing w:line="360" w:lineRule="auto"/>
              <w:jc w:val="center"/>
              <w:rPr>
                <w:sz w:val="18"/>
                <w:szCs w:val="18"/>
                <w:lang w:val="id-ID"/>
              </w:rPr>
            </w:pPr>
            <w:r>
              <w:rPr>
                <w:sz w:val="18"/>
                <w:szCs w:val="18"/>
                <w:lang w:val="id-ID"/>
              </w:rPr>
              <w:t xml:space="preserve">Rata rata </w:t>
            </w:r>
          </w:p>
        </w:tc>
        <w:tc>
          <w:tcPr>
            <w:tcW w:w="1536" w:type="dxa"/>
            <w:tcBorders>
              <w:bottom w:val="single" w:sz="4" w:space="0" w:color="000000"/>
            </w:tcBorders>
            <w:vAlign w:val="center"/>
          </w:tcPr>
          <w:p w:rsidR="00F740FC" w:rsidRPr="00211A97" w:rsidRDefault="00623298" w:rsidP="00FE4346">
            <w:pPr>
              <w:spacing w:line="360" w:lineRule="auto"/>
              <w:jc w:val="center"/>
              <w:rPr>
                <w:sz w:val="18"/>
                <w:szCs w:val="18"/>
                <w:lang w:val="id-ID"/>
              </w:rPr>
            </w:pPr>
            <w:r>
              <w:rPr>
                <w:sz w:val="18"/>
                <w:szCs w:val="18"/>
                <w:lang w:val="id-ID"/>
              </w:rPr>
              <w:t>Standar Deviasi</w:t>
            </w:r>
          </w:p>
        </w:tc>
      </w:tr>
      <w:tr w:rsidR="00F740FC" w:rsidRPr="00211A97" w:rsidTr="00FE4346">
        <w:trPr>
          <w:jc w:val="center"/>
        </w:trPr>
        <w:tc>
          <w:tcPr>
            <w:tcW w:w="1537" w:type="dxa"/>
            <w:tcBorders>
              <w:bottom w:val="nil"/>
            </w:tcBorders>
            <w:vAlign w:val="center"/>
          </w:tcPr>
          <w:p w:rsidR="00F740FC" w:rsidRPr="00623298" w:rsidRDefault="00623298" w:rsidP="00FE4346">
            <w:pPr>
              <w:spacing w:line="360" w:lineRule="auto"/>
              <w:jc w:val="center"/>
              <w:rPr>
                <w:sz w:val="18"/>
                <w:szCs w:val="18"/>
                <w:lang w:val="id-ID"/>
              </w:rPr>
            </w:pPr>
            <w:r>
              <w:rPr>
                <w:sz w:val="18"/>
                <w:szCs w:val="18"/>
                <w:lang w:val="id-ID"/>
              </w:rPr>
              <w:t>Normal</w:t>
            </w:r>
          </w:p>
        </w:tc>
        <w:tc>
          <w:tcPr>
            <w:tcW w:w="1189" w:type="dxa"/>
            <w:tcBorders>
              <w:bottom w:val="nil"/>
            </w:tcBorders>
            <w:vAlign w:val="center"/>
          </w:tcPr>
          <w:p w:rsidR="00F740FC" w:rsidRPr="00623298" w:rsidRDefault="00623298" w:rsidP="00FE4346">
            <w:pPr>
              <w:spacing w:line="360" w:lineRule="auto"/>
              <w:jc w:val="center"/>
              <w:rPr>
                <w:sz w:val="18"/>
                <w:szCs w:val="18"/>
                <w:lang w:val="id-ID"/>
              </w:rPr>
            </w:pPr>
            <w:r>
              <w:rPr>
                <w:sz w:val="18"/>
                <w:szCs w:val="18"/>
                <w:lang w:val="id-ID"/>
              </w:rPr>
              <w:t>177,90</w:t>
            </w:r>
          </w:p>
        </w:tc>
        <w:tc>
          <w:tcPr>
            <w:tcW w:w="1536" w:type="dxa"/>
            <w:tcBorders>
              <w:bottom w:val="nil"/>
            </w:tcBorders>
            <w:vAlign w:val="center"/>
          </w:tcPr>
          <w:p w:rsidR="00F740FC" w:rsidRPr="00211A97" w:rsidRDefault="00623298" w:rsidP="00FE4346">
            <w:pPr>
              <w:spacing w:line="360" w:lineRule="auto"/>
              <w:jc w:val="center"/>
              <w:rPr>
                <w:sz w:val="18"/>
                <w:szCs w:val="18"/>
                <w:lang w:val="id-ID"/>
              </w:rPr>
            </w:pPr>
            <w:r>
              <w:rPr>
                <w:sz w:val="18"/>
                <w:szCs w:val="18"/>
                <w:lang w:val="id-ID"/>
              </w:rPr>
              <w:t>47,07</w:t>
            </w:r>
          </w:p>
        </w:tc>
      </w:tr>
      <w:tr w:rsidR="00F740FC" w:rsidRPr="00211A97" w:rsidTr="00FE4346">
        <w:trPr>
          <w:jc w:val="center"/>
        </w:trPr>
        <w:tc>
          <w:tcPr>
            <w:tcW w:w="1537" w:type="dxa"/>
            <w:tcBorders>
              <w:top w:val="nil"/>
              <w:bottom w:val="nil"/>
            </w:tcBorders>
            <w:vAlign w:val="center"/>
          </w:tcPr>
          <w:p w:rsidR="00F740FC" w:rsidRPr="00623298" w:rsidRDefault="00623298" w:rsidP="00FE4346">
            <w:pPr>
              <w:pStyle w:val="ListParagraph"/>
              <w:ind w:left="0"/>
              <w:jc w:val="center"/>
              <w:rPr>
                <w:sz w:val="18"/>
                <w:szCs w:val="18"/>
                <w:lang w:val="id-ID"/>
              </w:rPr>
            </w:pPr>
            <w:r>
              <w:rPr>
                <w:sz w:val="18"/>
                <w:szCs w:val="18"/>
                <w:lang w:val="id-ID"/>
              </w:rPr>
              <w:t>Lisis Ringan (0,64%)</w:t>
            </w:r>
          </w:p>
        </w:tc>
        <w:tc>
          <w:tcPr>
            <w:tcW w:w="1189" w:type="dxa"/>
            <w:tcBorders>
              <w:top w:val="nil"/>
              <w:bottom w:val="nil"/>
            </w:tcBorders>
            <w:vAlign w:val="center"/>
          </w:tcPr>
          <w:p w:rsidR="00F740FC" w:rsidRPr="00623298" w:rsidRDefault="00623298" w:rsidP="00FE4346">
            <w:pPr>
              <w:spacing w:line="360" w:lineRule="auto"/>
              <w:jc w:val="center"/>
              <w:rPr>
                <w:sz w:val="18"/>
                <w:szCs w:val="18"/>
                <w:lang w:val="id-ID"/>
              </w:rPr>
            </w:pPr>
            <w:r>
              <w:rPr>
                <w:sz w:val="18"/>
                <w:szCs w:val="18"/>
                <w:lang w:val="id-ID"/>
              </w:rPr>
              <w:t>193,90</w:t>
            </w:r>
          </w:p>
        </w:tc>
        <w:tc>
          <w:tcPr>
            <w:tcW w:w="1536" w:type="dxa"/>
            <w:tcBorders>
              <w:top w:val="nil"/>
              <w:bottom w:val="nil"/>
            </w:tcBorders>
            <w:vAlign w:val="center"/>
          </w:tcPr>
          <w:p w:rsidR="00F740FC" w:rsidRPr="00211A97" w:rsidRDefault="00623298" w:rsidP="00FE4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val="id-ID" w:eastAsia="id-ID"/>
              </w:rPr>
            </w:pPr>
            <w:r>
              <w:rPr>
                <w:sz w:val="18"/>
                <w:szCs w:val="18"/>
                <w:lang w:val="id-ID" w:eastAsia="id-ID"/>
              </w:rPr>
              <w:t>43,24</w:t>
            </w:r>
          </w:p>
        </w:tc>
      </w:tr>
      <w:tr w:rsidR="00F740FC" w:rsidRPr="00211A97" w:rsidTr="00623298">
        <w:trPr>
          <w:jc w:val="center"/>
        </w:trPr>
        <w:tc>
          <w:tcPr>
            <w:tcW w:w="1537" w:type="dxa"/>
            <w:tcBorders>
              <w:top w:val="nil"/>
              <w:bottom w:val="nil"/>
            </w:tcBorders>
            <w:vAlign w:val="center"/>
          </w:tcPr>
          <w:p w:rsidR="00F740FC" w:rsidRPr="00623298" w:rsidRDefault="00623298" w:rsidP="00FE4346">
            <w:pPr>
              <w:pStyle w:val="ListParagraph"/>
              <w:ind w:left="0"/>
              <w:jc w:val="center"/>
              <w:rPr>
                <w:sz w:val="18"/>
                <w:szCs w:val="18"/>
                <w:lang w:val="id-ID"/>
              </w:rPr>
            </w:pPr>
            <w:r>
              <w:rPr>
                <w:sz w:val="18"/>
                <w:szCs w:val="18"/>
                <w:lang w:val="id-ID"/>
              </w:rPr>
              <w:t>Lisis Sedang (0,43%)</w:t>
            </w:r>
          </w:p>
        </w:tc>
        <w:tc>
          <w:tcPr>
            <w:tcW w:w="1189" w:type="dxa"/>
            <w:tcBorders>
              <w:top w:val="nil"/>
              <w:bottom w:val="nil"/>
            </w:tcBorders>
            <w:vAlign w:val="center"/>
          </w:tcPr>
          <w:p w:rsidR="00F740FC" w:rsidRPr="00623298" w:rsidRDefault="00623298" w:rsidP="00FE4346">
            <w:pPr>
              <w:spacing w:line="360" w:lineRule="auto"/>
              <w:jc w:val="center"/>
              <w:rPr>
                <w:sz w:val="18"/>
                <w:szCs w:val="18"/>
                <w:lang w:val="id-ID"/>
              </w:rPr>
            </w:pPr>
            <w:r>
              <w:rPr>
                <w:sz w:val="18"/>
                <w:szCs w:val="18"/>
                <w:lang w:val="id-ID"/>
              </w:rPr>
              <w:t>224,70</w:t>
            </w:r>
          </w:p>
        </w:tc>
        <w:tc>
          <w:tcPr>
            <w:tcW w:w="1536" w:type="dxa"/>
            <w:tcBorders>
              <w:top w:val="nil"/>
              <w:bottom w:val="nil"/>
            </w:tcBorders>
            <w:vAlign w:val="center"/>
          </w:tcPr>
          <w:p w:rsidR="00F740FC" w:rsidRPr="00211A97" w:rsidRDefault="00623298" w:rsidP="00FE4346">
            <w:pPr>
              <w:pStyle w:val="HTMLPreformatted"/>
              <w:jc w:val="center"/>
              <w:rPr>
                <w:rFonts w:ascii="Times New Roman" w:hAnsi="Times New Roman" w:cs="Times New Roman"/>
                <w:sz w:val="18"/>
                <w:szCs w:val="18"/>
              </w:rPr>
            </w:pPr>
            <w:r>
              <w:rPr>
                <w:rFonts w:ascii="Times New Roman" w:hAnsi="Times New Roman" w:cs="Times New Roman"/>
                <w:sz w:val="18"/>
                <w:szCs w:val="18"/>
              </w:rPr>
              <w:t>41,07</w:t>
            </w:r>
          </w:p>
        </w:tc>
      </w:tr>
      <w:tr w:rsidR="00F740FC" w:rsidRPr="00211A97" w:rsidTr="00623298">
        <w:trPr>
          <w:jc w:val="center"/>
        </w:trPr>
        <w:tc>
          <w:tcPr>
            <w:tcW w:w="1537" w:type="dxa"/>
            <w:tcBorders>
              <w:top w:val="nil"/>
              <w:bottom w:val="single" w:sz="4" w:space="0" w:color="auto"/>
            </w:tcBorders>
            <w:vAlign w:val="center"/>
          </w:tcPr>
          <w:p w:rsidR="00F740FC" w:rsidRPr="00623298" w:rsidRDefault="00623298" w:rsidP="00FE4346">
            <w:pPr>
              <w:pStyle w:val="ListParagraph"/>
              <w:ind w:left="0"/>
              <w:jc w:val="center"/>
              <w:rPr>
                <w:sz w:val="18"/>
                <w:szCs w:val="18"/>
                <w:lang w:val="id-ID"/>
              </w:rPr>
            </w:pPr>
            <w:r>
              <w:rPr>
                <w:sz w:val="18"/>
                <w:szCs w:val="18"/>
                <w:lang w:val="id-ID"/>
              </w:rPr>
              <w:t>Lisis Berat (0,21%)</w:t>
            </w:r>
          </w:p>
        </w:tc>
        <w:tc>
          <w:tcPr>
            <w:tcW w:w="1189" w:type="dxa"/>
            <w:tcBorders>
              <w:top w:val="nil"/>
              <w:bottom w:val="single" w:sz="4" w:space="0" w:color="auto"/>
            </w:tcBorders>
            <w:vAlign w:val="center"/>
          </w:tcPr>
          <w:p w:rsidR="00F740FC" w:rsidRPr="00623298" w:rsidRDefault="00623298" w:rsidP="00FE4346">
            <w:pPr>
              <w:spacing w:line="360" w:lineRule="auto"/>
              <w:jc w:val="center"/>
              <w:rPr>
                <w:sz w:val="18"/>
                <w:szCs w:val="18"/>
                <w:lang w:val="id-ID"/>
              </w:rPr>
            </w:pPr>
            <w:r>
              <w:rPr>
                <w:sz w:val="18"/>
                <w:szCs w:val="18"/>
                <w:lang w:val="id-ID"/>
              </w:rPr>
              <w:t>265,20</w:t>
            </w:r>
          </w:p>
        </w:tc>
        <w:tc>
          <w:tcPr>
            <w:tcW w:w="1536" w:type="dxa"/>
            <w:tcBorders>
              <w:top w:val="nil"/>
              <w:bottom w:val="single" w:sz="4" w:space="0" w:color="auto"/>
            </w:tcBorders>
            <w:vAlign w:val="center"/>
          </w:tcPr>
          <w:p w:rsidR="00F740FC" w:rsidRPr="00211A97" w:rsidRDefault="00623298" w:rsidP="00FE4346">
            <w:pPr>
              <w:pStyle w:val="HTMLPreformatted"/>
              <w:jc w:val="center"/>
              <w:rPr>
                <w:rFonts w:ascii="Times New Roman" w:hAnsi="Times New Roman" w:cs="Times New Roman"/>
                <w:sz w:val="18"/>
                <w:szCs w:val="18"/>
              </w:rPr>
            </w:pPr>
            <w:r>
              <w:rPr>
                <w:rFonts w:ascii="Times New Roman" w:hAnsi="Times New Roman" w:cs="Times New Roman"/>
                <w:sz w:val="18"/>
                <w:szCs w:val="18"/>
              </w:rPr>
              <w:t>40,96</w:t>
            </w:r>
          </w:p>
        </w:tc>
      </w:tr>
    </w:tbl>
    <w:p w:rsidR="00F740FC" w:rsidRDefault="00F740FC" w:rsidP="00F740FC">
      <w:pPr>
        <w:jc w:val="both"/>
        <w:rPr>
          <w:sz w:val="22"/>
          <w:szCs w:val="22"/>
          <w:lang w:val="id-ID"/>
        </w:rPr>
      </w:pPr>
    </w:p>
    <w:p w:rsidR="002A3199" w:rsidRPr="00821982" w:rsidRDefault="002A3199" w:rsidP="00F740FC">
      <w:pPr>
        <w:jc w:val="both"/>
        <w:rPr>
          <w:sz w:val="22"/>
          <w:szCs w:val="22"/>
          <w:lang w:val="id-ID"/>
        </w:rPr>
      </w:pPr>
      <w:r>
        <w:rPr>
          <w:sz w:val="22"/>
          <w:szCs w:val="22"/>
          <w:lang w:val="id-ID"/>
        </w:rPr>
        <w:t xml:space="preserve">Pada uji </w:t>
      </w:r>
      <w:r w:rsidRPr="002A3199">
        <w:rPr>
          <w:i/>
          <w:sz w:val="22"/>
          <w:szCs w:val="22"/>
          <w:lang w:val="id-ID"/>
        </w:rPr>
        <w:t>one way</w:t>
      </w:r>
      <w:r>
        <w:rPr>
          <w:sz w:val="22"/>
          <w:szCs w:val="22"/>
          <w:lang w:val="id-ID"/>
        </w:rPr>
        <w:t xml:space="preserve"> anova didapatkan nilai F sebesar 7,937 dengan diketahui F tabel sebesar 2,866 dengan tingkat signifikansi &lt; 0,05. </w:t>
      </w:r>
    </w:p>
    <w:p w:rsidR="002A3199" w:rsidRPr="00811E7C" w:rsidRDefault="002A3199" w:rsidP="002A3199">
      <w:pPr>
        <w:pStyle w:val="Heading1"/>
        <w:suppressAutoHyphens/>
        <w:rPr>
          <w:i w:val="0"/>
          <w:sz w:val="22"/>
          <w:szCs w:val="22"/>
        </w:rPr>
      </w:pPr>
      <w:r>
        <w:rPr>
          <w:i w:val="0"/>
          <w:sz w:val="22"/>
          <w:szCs w:val="22"/>
          <w:lang w:val="id-ID"/>
        </w:rPr>
        <w:t>Diskusi</w:t>
      </w:r>
      <w:r>
        <w:rPr>
          <w:i w:val="0"/>
          <w:sz w:val="22"/>
          <w:szCs w:val="22"/>
        </w:rPr>
        <w:t xml:space="preserve"> </w:t>
      </w:r>
    </w:p>
    <w:p w:rsidR="00365CF9" w:rsidRDefault="00374C9B" w:rsidP="00365CF9">
      <w:pPr>
        <w:ind w:firstLine="357"/>
        <w:jc w:val="both"/>
        <w:rPr>
          <w:sz w:val="22"/>
          <w:szCs w:val="22"/>
          <w:lang w:val="id-ID"/>
        </w:rPr>
      </w:pPr>
      <w:r>
        <w:rPr>
          <w:sz w:val="22"/>
          <w:szCs w:val="22"/>
          <w:lang w:val="id-ID"/>
        </w:rPr>
        <w:t>Pada penelitian ini pada ta</w:t>
      </w:r>
      <w:r w:rsidR="00365CF9">
        <w:rPr>
          <w:sz w:val="22"/>
          <w:szCs w:val="22"/>
          <w:lang w:val="id-ID"/>
        </w:rPr>
        <w:t xml:space="preserve">bel 1 sudah tampak terlihat adanya perbedaan yang signifikan antara nilai rata rata trombosit. Hasil yang didapatkan meningkat seiring dengan konsentrasi NaCl yang diberikan. </w:t>
      </w:r>
    </w:p>
    <w:p w:rsidR="00365CF9" w:rsidRDefault="00365CF9" w:rsidP="00365CF9">
      <w:pPr>
        <w:ind w:firstLine="357"/>
        <w:jc w:val="both"/>
        <w:rPr>
          <w:sz w:val="22"/>
          <w:szCs w:val="22"/>
          <w:lang w:val="id-ID"/>
        </w:rPr>
      </w:pPr>
      <w:r>
        <w:rPr>
          <w:sz w:val="22"/>
          <w:szCs w:val="22"/>
          <w:lang w:val="id-ID"/>
        </w:rPr>
        <w:lastRenderedPageBreak/>
        <w:t xml:space="preserve">Peningkatan tersebut </w:t>
      </w:r>
      <w:r w:rsidR="00F35482">
        <w:rPr>
          <w:sz w:val="22"/>
          <w:szCs w:val="22"/>
          <w:lang w:val="id-ID"/>
        </w:rPr>
        <w:t xml:space="preserve">disebabkan karena sel sel darah yang lisis. Lisisnya sel darah merah disebabkan karena </w:t>
      </w:r>
      <w:r w:rsidR="00C71126">
        <w:rPr>
          <w:sz w:val="22"/>
          <w:szCs w:val="22"/>
          <w:lang w:val="id-ID"/>
        </w:rPr>
        <w:t>semakin kecilnya</w:t>
      </w:r>
      <w:r w:rsidR="00F35482">
        <w:rPr>
          <w:sz w:val="22"/>
          <w:szCs w:val="22"/>
          <w:lang w:val="id-ID"/>
        </w:rPr>
        <w:t xml:space="preserve"> kons</w:t>
      </w:r>
      <w:r w:rsidR="00C71126">
        <w:rPr>
          <w:sz w:val="22"/>
          <w:szCs w:val="22"/>
          <w:lang w:val="id-ID"/>
        </w:rPr>
        <w:t>e</w:t>
      </w:r>
      <w:r w:rsidR="00F35482">
        <w:rPr>
          <w:sz w:val="22"/>
          <w:szCs w:val="22"/>
          <w:lang w:val="id-ID"/>
        </w:rPr>
        <w:t xml:space="preserve">ntrasi NaCl sehingga akan terjadi perbedaan tingkat osmotik yang membuat cairan masuk kedalam sel darah dan akhirnya pecah. Pecahnya sel tersebut membentuk suatu partikel partikel kecil </w:t>
      </w:r>
      <w:r w:rsidR="00C71126">
        <w:rPr>
          <w:sz w:val="22"/>
          <w:szCs w:val="22"/>
          <w:lang w:val="id-ID"/>
        </w:rPr>
        <w:t xml:space="preserve">yang membuat </w:t>
      </w:r>
      <w:r w:rsidR="00F35482">
        <w:rPr>
          <w:sz w:val="22"/>
          <w:szCs w:val="22"/>
          <w:lang w:val="id-ID"/>
        </w:rPr>
        <w:t xml:space="preserve"> pembacaan menggunakan metode </w:t>
      </w:r>
      <w:r w:rsidR="0068565D">
        <w:rPr>
          <w:i/>
          <w:sz w:val="22"/>
          <w:szCs w:val="22"/>
          <w:lang w:val="id-ID"/>
        </w:rPr>
        <w:t>electrical impedance</w:t>
      </w:r>
      <w:r w:rsidR="00F35482" w:rsidRPr="00C71126">
        <w:rPr>
          <w:i/>
          <w:sz w:val="22"/>
          <w:szCs w:val="22"/>
          <w:lang w:val="id-ID"/>
        </w:rPr>
        <w:t xml:space="preserve"> </w:t>
      </w:r>
      <w:r w:rsidR="00F35482">
        <w:rPr>
          <w:sz w:val="22"/>
          <w:szCs w:val="22"/>
          <w:lang w:val="id-ID"/>
        </w:rPr>
        <w:t>akan memberikan hambatan listrik yang hampir sama dengan trombosit. Persamaan hambatan tersebut membuat partikel eritrosit yang pecah terbaca menjadi trombosit.</w:t>
      </w:r>
    </w:p>
    <w:p w:rsidR="0025052A" w:rsidRDefault="0025052A" w:rsidP="00365CF9">
      <w:pPr>
        <w:ind w:firstLine="357"/>
        <w:jc w:val="both"/>
        <w:rPr>
          <w:sz w:val="22"/>
          <w:szCs w:val="22"/>
          <w:lang w:val="id-ID"/>
        </w:rPr>
      </w:pPr>
      <w:r>
        <w:rPr>
          <w:sz w:val="22"/>
          <w:szCs w:val="22"/>
          <w:lang w:val="id-ID"/>
        </w:rPr>
        <w:t>Pada Darah lisis rata rata kenaikan yang trombosit dari ringan, sedang hingga berat berturut turut 16%, 46,6%, dan 86%. Peningakatan yang cukup besar pada hitung jumlah trombosit dapat mempengaruhi hasil keputusan klinis (</w:t>
      </w:r>
      <w:r w:rsidRPr="0025052A">
        <w:rPr>
          <w:i/>
          <w:sz w:val="22"/>
          <w:szCs w:val="22"/>
          <w:lang w:val="id-ID"/>
        </w:rPr>
        <w:t>Clinical Decision</w:t>
      </w:r>
      <w:r>
        <w:rPr>
          <w:sz w:val="22"/>
          <w:szCs w:val="22"/>
          <w:lang w:val="id-ID"/>
        </w:rPr>
        <w:t xml:space="preserve">) terutama penyakit yang monitoringnya didasarkan pada trombosit. Pada pasien malaria, buruknya preparasi sampel yang menyebabkan darah hemolisis menyebabkan partikel lisis sel darah terbaca sebagai trombosit </w:t>
      </w:r>
      <w:r w:rsidR="0092035F">
        <w:rPr>
          <w:sz w:val="22"/>
          <w:szCs w:val="22"/>
          <w:lang w:val="id-ID"/>
        </w:rPr>
        <w:t>disaat</w:t>
      </w:r>
      <w:r>
        <w:rPr>
          <w:sz w:val="22"/>
          <w:szCs w:val="22"/>
          <w:lang w:val="id-ID"/>
        </w:rPr>
        <w:t xml:space="preserve"> mulai hilangnya</w:t>
      </w:r>
      <w:r w:rsidR="0092035F">
        <w:rPr>
          <w:sz w:val="22"/>
          <w:szCs w:val="22"/>
          <w:lang w:val="id-ID"/>
        </w:rPr>
        <w:t xml:space="preserve"> trombosit.</w:t>
      </w:r>
      <w:r>
        <w:rPr>
          <w:sz w:val="22"/>
          <w:szCs w:val="22"/>
          <w:lang w:val="id-ID"/>
        </w:rPr>
        <w:t xml:space="preserve">   </w:t>
      </w:r>
    </w:p>
    <w:p w:rsidR="002A3199" w:rsidRDefault="002A3199" w:rsidP="00374C9B">
      <w:pPr>
        <w:jc w:val="both"/>
        <w:rPr>
          <w:sz w:val="22"/>
          <w:szCs w:val="22"/>
          <w:lang w:val="id-ID"/>
        </w:rPr>
      </w:pPr>
    </w:p>
    <w:p w:rsidR="00F740FC" w:rsidRDefault="00F740FC" w:rsidP="002A3199">
      <w:pPr>
        <w:ind w:firstLine="357"/>
        <w:jc w:val="both"/>
        <w:rPr>
          <w:sz w:val="22"/>
          <w:szCs w:val="22"/>
          <w:lang w:val="id-ID"/>
        </w:rPr>
      </w:pPr>
    </w:p>
    <w:p w:rsidR="00374C9B" w:rsidRDefault="00374C9B" w:rsidP="00F35482">
      <w:pPr>
        <w:jc w:val="both"/>
        <w:rPr>
          <w:b/>
          <w:sz w:val="22"/>
          <w:szCs w:val="22"/>
          <w:lang w:val="id-ID"/>
        </w:rPr>
      </w:pPr>
      <w:r>
        <w:rPr>
          <w:b/>
          <w:sz w:val="22"/>
          <w:szCs w:val="22"/>
          <w:lang w:val="id-ID"/>
        </w:rPr>
        <w:t>Kesimpulan</w:t>
      </w:r>
    </w:p>
    <w:p w:rsidR="00374C9B" w:rsidRDefault="00374C9B" w:rsidP="00F35482">
      <w:pPr>
        <w:jc w:val="both"/>
        <w:rPr>
          <w:sz w:val="22"/>
          <w:szCs w:val="22"/>
          <w:lang w:val="id-ID"/>
        </w:rPr>
      </w:pPr>
      <w:r>
        <w:rPr>
          <w:b/>
          <w:sz w:val="22"/>
          <w:szCs w:val="22"/>
          <w:lang w:val="id-ID"/>
        </w:rPr>
        <w:tab/>
      </w:r>
      <w:r>
        <w:rPr>
          <w:sz w:val="22"/>
          <w:szCs w:val="22"/>
          <w:lang w:val="id-ID"/>
        </w:rPr>
        <w:t xml:space="preserve">Penelitian ini membuktian </w:t>
      </w:r>
      <w:r w:rsidR="00A15C2F">
        <w:rPr>
          <w:sz w:val="22"/>
          <w:szCs w:val="22"/>
          <w:lang w:val="id-ID"/>
        </w:rPr>
        <w:t>bahwa terdapat perbedaan antara darah lisis dan darah yang normal.</w:t>
      </w:r>
    </w:p>
    <w:p w:rsidR="00A933E5" w:rsidRPr="00374C9B" w:rsidRDefault="00A933E5" w:rsidP="00F35482">
      <w:pPr>
        <w:jc w:val="both"/>
        <w:rPr>
          <w:sz w:val="22"/>
          <w:szCs w:val="22"/>
          <w:lang w:val="id-ID"/>
        </w:rPr>
      </w:pPr>
    </w:p>
    <w:p w:rsidR="00F35482" w:rsidRPr="00B11A03" w:rsidRDefault="00F35482" w:rsidP="00F35482">
      <w:pPr>
        <w:jc w:val="both"/>
        <w:rPr>
          <w:b/>
          <w:sz w:val="22"/>
          <w:szCs w:val="22"/>
          <w:lang w:val="id-ID"/>
        </w:rPr>
      </w:pPr>
      <w:r w:rsidRPr="00B11A03">
        <w:rPr>
          <w:b/>
          <w:sz w:val="22"/>
          <w:szCs w:val="22"/>
          <w:lang w:val="id-ID"/>
        </w:rPr>
        <w:t>Ucapan Terimakasih</w:t>
      </w:r>
    </w:p>
    <w:p w:rsidR="00A15C2F" w:rsidRDefault="00F35482" w:rsidP="00F35482">
      <w:pPr>
        <w:ind w:firstLine="357"/>
        <w:jc w:val="both"/>
        <w:rPr>
          <w:sz w:val="22"/>
          <w:szCs w:val="22"/>
          <w:lang w:val="id-ID"/>
        </w:rPr>
      </w:pPr>
      <w:r>
        <w:rPr>
          <w:sz w:val="22"/>
          <w:szCs w:val="22"/>
          <w:lang w:val="id-ID"/>
        </w:rPr>
        <w:t xml:space="preserve">Ucapan terimakasih kepada </w:t>
      </w:r>
      <w:r w:rsidR="00A15C2F">
        <w:rPr>
          <w:sz w:val="22"/>
          <w:szCs w:val="22"/>
          <w:lang w:val="id-ID"/>
        </w:rPr>
        <w:t xml:space="preserve">pihak Universitas Muhammadiyah Semarang dan Laboratorium Hematologi, Jurusan Analis Kesehatan yang telah memberi kesempatan untuk melakukan penelitin </w:t>
      </w:r>
    </w:p>
    <w:p w:rsidR="00821982" w:rsidRDefault="00821982" w:rsidP="00821982">
      <w:pPr>
        <w:ind w:firstLine="357"/>
        <w:jc w:val="both"/>
        <w:rPr>
          <w:sz w:val="22"/>
          <w:szCs w:val="22"/>
        </w:rPr>
      </w:pPr>
    </w:p>
    <w:p w:rsidR="00844553" w:rsidRDefault="00161B59" w:rsidP="00821982">
      <w:pPr>
        <w:jc w:val="both"/>
        <w:rPr>
          <w:b/>
          <w:sz w:val="22"/>
          <w:szCs w:val="22"/>
          <w:lang w:val="id-ID"/>
        </w:rPr>
      </w:pPr>
      <w:r w:rsidRPr="00161B59">
        <w:rPr>
          <w:sz w:val="22"/>
          <w:szCs w:val="22"/>
          <w:lang w:val="id-ID"/>
        </w:rPr>
        <w:t xml:space="preserve"> </w:t>
      </w:r>
      <w:r w:rsidR="00821982" w:rsidRPr="00821982">
        <w:rPr>
          <w:b/>
          <w:sz w:val="22"/>
          <w:szCs w:val="22"/>
        </w:rPr>
        <w:t>Referensi</w:t>
      </w:r>
    </w:p>
    <w:p w:rsidR="00821982" w:rsidRPr="00821982" w:rsidRDefault="00821982" w:rsidP="00821982">
      <w:pPr>
        <w:jc w:val="both"/>
        <w:rPr>
          <w:b/>
          <w:sz w:val="22"/>
          <w:szCs w:val="22"/>
          <w:lang w:val="id-ID"/>
        </w:rPr>
      </w:pPr>
    </w:p>
    <w:p w:rsidR="004345F3" w:rsidRDefault="00581800" w:rsidP="004345F3">
      <w:pPr>
        <w:widowControl w:val="0"/>
        <w:autoSpaceDE w:val="0"/>
        <w:autoSpaceDN w:val="0"/>
        <w:adjustRightInd w:val="0"/>
        <w:rPr>
          <w:noProof/>
          <w:sz w:val="22"/>
          <w:szCs w:val="24"/>
          <w:lang w:val="id-ID"/>
        </w:rPr>
      </w:pPr>
      <w:r>
        <w:rPr>
          <w:sz w:val="22"/>
          <w:szCs w:val="22"/>
          <w:lang w:val="id-ID"/>
        </w:rPr>
        <w:fldChar w:fldCharType="begin" w:fldLock="1"/>
      </w:r>
      <w:r w:rsidR="00586CFE">
        <w:rPr>
          <w:sz w:val="22"/>
          <w:szCs w:val="22"/>
          <w:lang w:val="id-ID"/>
        </w:rPr>
        <w:instrText xml:space="preserve">ADDIN Mendeley Bibliography CSL_BIBLIOGRAPHY </w:instrText>
      </w:r>
      <w:r>
        <w:rPr>
          <w:sz w:val="22"/>
          <w:szCs w:val="22"/>
          <w:lang w:val="id-ID"/>
        </w:rPr>
        <w:fldChar w:fldCharType="separate"/>
      </w:r>
      <w:r w:rsidR="004345F3" w:rsidRPr="004345F3">
        <w:rPr>
          <w:noProof/>
          <w:sz w:val="22"/>
          <w:szCs w:val="24"/>
        </w:rPr>
        <w:t xml:space="preserve">Dasgupta, A. and Sepulveda, J. L. (2013) </w:t>
      </w:r>
      <w:r w:rsidR="004345F3" w:rsidRPr="004345F3">
        <w:rPr>
          <w:i/>
          <w:iCs/>
          <w:noProof/>
          <w:sz w:val="22"/>
          <w:szCs w:val="24"/>
        </w:rPr>
        <w:t>Accurate Results in the Clinical Laboratory: A Guide to Error Detection and Correction</w:t>
      </w:r>
      <w:r w:rsidR="004345F3" w:rsidRPr="004345F3">
        <w:rPr>
          <w:noProof/>
          <w:sz w:val="22"/>
          <w:szCs w:val="24"/>
        </w:rPr>
        <w:t>. doi: 10.1016/C2011-0-04380-6.</w:t>
      </w:r>
    </w:p>
    <w:p w:rsidR="004345F3" w:rsidRPr="004345F3" w:rsidRDefault="004345F3" w:rsidP="004345F3">
      <w:pPr>
        <w:widowControl w:val="0"/>
        <w:autoSpaceDE w:val="0"/>
        <w:autoSpaceDN w:val="0"/>
        <w:adjustRightInd w:val="0"/>
        <w:rPr>
          <w:noProof/>
          <w:sz w:val="22"/>
          <w:szCs w:val="24"/>
          <w:lang w:val="id-ID"/>
        </w:rPr>
      </w:pPr>
    </w:p>
    <w:p w:rsidR="004345F3" w:rsidRPr="004345F3" w:rsidRDefault="004345F3" w:rsidP="004345F3">
      <w:pPr>
        <w:widowControl w:val="0"/>
        <w:autoSpaceDE w:val="0"/>
        <w:autoSpaceDN w:val="0"/>
        <w:adjustRightInd w:val="0"/>
        <w:rPr>
          <w:noProof/>
          <w:sz w:val="22"/>
          <w:szCs w:val="24"/>
        </w:rPr>
      </w:pPr>
      <w:r w:rsidRPr="004345F3">
        <w:rPr>
          <w:noProof/>
          <w:sz w:val="22"/>
          <w:szCs w:val="24"/>
        </w:rPr>
        <w:t xml:space="preserve">Dewi, D. C. and Durachim, A. (2014) ‘Analysis of Blood Sample Lysis Rate on Hemoglobin Examination Results Using </w:t>
      </w:r>
      <w:r w:rsidRPr="004345F3">
        <w:rPr>
          <w:noProof/>
          <w:sz w:val="22"/>
          <w:szCs w:val="24"/>
        </w:rPr>
        <w:lastRenderedPageBreak/>
        <w:t>Rayto Rt . 7600 Auto Hematology Analyzer’, 50(4), pp. 262–264.</w:t>
      </w:r>
    </w:p>
    <w:p w:rsidR="004345F3" w:rsidRDefault="004345F3" w:rsidP="004345F3">
      <w:pPr>
        <w:widowControl w:val="0"/>
        <w:autoSpaceDE w:val="0"/>
        <w:autoSpaceDN w:val="0"/>
        <w:adjustRightInd w:val="0"/>
        <w:rPr>
          <w:noProof/>
          <w:sz w:val="22"/>
          <w:szCs w:val="24"/>
          <w:lang w:val="id-ID"/>
        </w:rPr>
      </w:pPr>
    </w:p>
    <w:p w:rsidR="004345F3" w:rsidRPr="004345F3" w:rsidRDefault="004345F3" w:rsidP="004345F3">
      <w:pPr>
        <w:widowControl w:val="0"/>
        <w:autoSpaceDE w:val="0"/>
        <w:autoSpaceDN w:val="0"/>
        <w:adjustRightInd w:val="0"/>
        <w:rPr>
          <w:noProof/>
          <w:sz w:val="22"/>
          <w:szCs w:val="24"/>
        </w:rPr>
      </w:pPr>
      <w:r w:rsidRPr="004345F3">
        <w:rPr>
          <w:noProof/>
          <w:sz w:val="22"/>
          <w:szCs w:val="24"/>
        </w:rPr>
        <w:t xml:space="preserve">George-Gay, B. and Parker, K. (2003) ‘Understanding the complete blood count with differential.’, </w:t>
      </w:r>
      <w:r w:rsidRPr="004345F3">
        <w:rPr>
          <w:i/>
          <w:iCs/>
          <w:noProof/>
          <w:sz w:val="22"/>
          <w:szCs w:val="24"/>
        </w:rPr>
        <w:t>Journal of perianesthesia nursing : official journal of the American Society of PeriAnesthesia Nurses</w:t>
      </w:r>
      <w:r w:rsidRPr="004345F3">
        <w:rPr>
          <w:noProof/>
          <w:sz w:val="22"/>
          <w:szCs w:val="24"/>
        </w:rPr>
        <w:t>. Elsevier, 18(2), pp. 96-114–7. doi: 10.1053/jpan.2003.50013.</w:t>
      </w:r>
    </w:p>
    <w:p w:rsidR="004345F3" w:rsidRDefault="004345F3" w:rsidP="004345F3">
      <w:pPr>
        <w:widowControl w:val="0"/>
        <w:autoSpaceDE w:val="0"/>
        <w:autoSpaceDN w:val="0"/>
        <w:adjustRightInd w:val="0"/>
        <w:rPr>
          <w:noProof/>
          <w:sz w:val="22"/>
          <w:szCs w:val="24"/>
          <w:lang w:val="id-ID"/>
        </w:rPr>
      </w:pPr>
    </w:p>
    <w:p w:rsidR="004345F3" w:rsidRPr="004345F3" w:rsidRDefault="004345F3" w:rsidP="004345F3">
      <w:pPr>
        <w:widowControl w:val="0"/>
        <w:autoSpaceDE w:val="0"/>
        <w:autoSpaceDN w:val="0"/>
        <w:adjustRightInd w:val="0"/>
        <w:rPr>
          <w:noProof/>
          <w:sz w:val="22"/>
          <w:szCs w:val="24"/>
        </w:rPr>
      </w:pPr>
      <w:r w:rsidRPr="004345F3">
        <w:rPr>
          <w:noProof/>
          <w:sz w:val="22"/>
          <w:szCs w:val="24"/>
        </w:rPr>
        <w:t xml:space="preserve">Maciel, T. E. S., Comar, S. R. and Beltrame, M. P. (2014) ‘Performance evaluation of the Sysmex® XE-2100D automated hematology analyzer’, </w:t>
      </w:r>
      <w:r w:rsidRPr="004345F3">
        <w:rPr>
          <w:i/>
          <w:iCs/>
          <w:noProof/>
          <w:sz w:val="22"/>
          <w:szCs w:val="24"/>
        </w:rPr>
        <w:t>Jornal Brasileiro de Patologia e Medicina Laboratorial</w:t>
      </w:r>
      <w:r w:rsidRPr="004345F3">
        <w:rPr>
          <w:noProof/>
          <w:sz w:val="22"/>
          <w:szCs w:val="24"/>
        </w:rPr>
        <w:t>, 50(1), pp. 26–35. doi: 10.1590/S1676-24442014000100004.</w:t>
      </w:r>
    </w:p>
    <w:p w:rsidR="004345F3" w:rsidRDefault="004345F3" w:rsidP="004345F3">
      <w:pPr>
        <w:widowControl w:val="0"/>
        <w:autoSpaceDE w:val="0"/>
        <w:autoSpaceDN w:val="0"/>
        <w:adjustRightInd w:val="0"/>
        <w:rPr>
          <w:noProof/>
          <w:sz w:val="22"/>
          <w:szCs w:val="24"/>
          <w:lang w:val="id-ID"/>
        </w:rPr>
      </w:pPr>
    </w:p>
    <w:p w:rsidR="004345F3" w:rsidRPr="004345F3" w:rsidRDefault="004345F3" w:rsidP="004345F3">
      <w:pPr>
        <w:widowControl w:val="0"/>
        <w:autoSpaceDE w:val="0"/>
        <w:autoSpaceDN w:val="0"/>
        <w:adjustRightInd w:val="0"/>
        <w:rPr>
          <w:noProof/>
          <w:sz w:val="22"/>
        </w:rPr>
      </w:pPr>
      <w:r w:rsidRPr="004345F3">
        <w:rPr>
          <w:noProof/>
          <w:sz w:val="22"/>
          <w:szCs w:val="24"/>
        </w:rPr>
        <w:t xml:space="preserve">Turgeon, M. L. and Turgeon, M. L. (1999) </w:t>
      </w:r>
      <w:r w:rsidRPr="004345F3">
        <w:rPr>
          <w:i/>
          <w:iCs/>
          <w:noProof/>
          <w:sz w:val="22"/>
          <w:szCs w:val="24"/>
        </w:rPr>
        <w:t>Clinical hematology: Theory and procedures, Third edition</w:t>
      </w:r>
      <w:r w:rsidRPr="004345F3">
        <w:rPr>
          <w:noProof/>
          <w:sz w:val="22"/>
          <w:szCs w:val="24"/>
        </w:rPr>
        <w:t xml:space="preserve">, </w:t>
      </w:r>
      <w:r w:rsidRPr="004345F3">
        <w:rPr>
          <w:i/>
          <w:iCs/>
          <w:noProof/>
          <w:sz w:val="22"/>
          <w:szCs w:val="24"/>
        </w:rPr>
        <w:t>Clinical hematology: Theory and procedures, Third edition</w:t>
      </w:r>
      <w:r w:rsidRPr="004345F3">
        <w:rPr>
          <w:noProof/>
          <w:sz w:val="22"/>
          <w:szCs w:val="24"/>
        </w:rPr>
        <w:t>. doi: 10.1017/CBO9781107415324.004.</w:t>
      </w:r>
    </w:p>
    <w:p w:rsidR="00593A4C" w:rsidRDefault="00581800" w:rsidP="004345F3">
      <w:pPr>
        <w:widowControl w:val="0"/>
        <w:autoSpaceDE w:val="0"/>
        <w:autoSpaceDN w:val="0"/>
        <w:adjustRightInd w:val="0"/>
        <w:rPr>
          <w:sz w:val="22"/>
          <w:szCs w:val="22"/>
          <w:lang w:val="id-ID"/>
        </w:rPr>
      </w:pPr>
      <w:r>
        <w:rPr>
          <w:sz w:val="22"/>
          <w:szCs w:val="22"/>
          <w:lang w:val="id-ID"/>
        </w:rPr>
        <w:fldChar w:fldCharType="end"/>
      </w:r>
    </w:p>
    <w:p w:rsidR="00593A4C" w:rsidRDefault="00593A4C" w:rsidP="00192FD4">
      <w:pPr>
        <w:widowControl w:val="0"/>
        <w:autoSpaceDE w:val="0"/>
        <w:autoSpaceDN w:val="0"/>
        <w:adjustRightInd w:val="0"/>
        <w:ind w:left="640" w:hanging="640"/>
        <w:rPr>
          <w:sz w:val="22"/>
          <w:szCs w:val="22"/>
          <w:lang w:val="id-ID"/>
        </w:rPr>
      </w:pPr>
    </w:p>
    <w:p w:rsidR="00593A4C" w:rsidRDefault="00593A4C" w:rsidP="00192FD4">
      <w:pPr>
        <w:widowControl w:val="0"/>
        <w:autoSpaceDE w:val="0"/>
        <w:autoSpaceDN w:val="0"/>
        <w:adjustRightInd w:val="0"/>
        <w:ind w:left="640" w:hanging="640"/>
        <w:rPr>
          <w:sz w:val="22"/>
          <w:szCs w:val="22"/>
          <w:lang w:val="id-ID"/>
        </w:rPr>
      </w:pPr>
    </w:p>
    <w:p w:rsidR="00593A4C" w:rsidRDefault="00593A4C" w:rsidP="00192FD4">
      <w:pPr>
        <w:widowControl w:val="0"/>
        <w:autoSpaceDE w:val="0"/>
        <w:autoSpaceDN w:val="0"/>
        <w:adjustRightInd w:val="0"/>
        <w:ind w:left="640" w:hanging="640"/>
        <w:rPr>
          <w:sz w:val="22"/>
          <w:szCs w:val="22"/>
          <w:lang w:val="id-ID"/>
        </w:rPr>
      </w:pPr>
    </w:p>
    <w:p w:rsidR="00593A4C" w:rsidRDefault="00593A4C" w:rsidP="00192FD4">
      <w:pPr>
        <w:widowControl w:val="0"/>
        <w:autoSpaceDE w:val="0"/>
        <w:autoSpaceDN w:val="0"/>
        <w:adjustRightInd w:val="0"/>
        <w:ind w:left="640" w:hanging="640"/>
        <w:rPr>
          <w:sz w:val="22"/>
          <w:szCs w:val="22"/>
          <w:lang w:val="id-ID"/>
        </w:rPr>
      </w:pPr>
    </w:p>
    <w:p w:rsidR="00FC54F8" w:rsidRDefault="00FC54F8" w:rsidP="001A1DCB">
      <w:pPr>
        <w:jc w:val="both"/>
        <w:rPr>
          <w:sz w:val="18"/>
          <w:szCs w:val="18"/>
        </w:rPr>
      </w:pPr>
    </w:p>
    <w:p w:rsidR="00FC54F8" w:rsidRDefault="00FC54F8" w:rsidP="001A1DCB">
      <w:pPr>
        <w:jc w:val="both"/>
        <w:rPr>
          <w:sz w:val="18"/>
          <w:szCs w:val="18"/>
        </w:rPr>
      </w:pPr>
    </w:p>
    <w:p w:rsidR="00FC54F8" w:rsidRDefault="00FC54F8" w:rsidP="001A1DCB">
      <w:pPr>
        <w:jc w:val="both"/>
        <w:rPr>
          <w:sz w:val="18"/>
          <w:szCs w:val="18"/>
        </w:rPr>
      </w:pPr>
    </w:p>
    <w:p w:rsidR="00FC54F8" w:rsidRDefault="00FC54F8" w:rsidP="001A1DCB">
      <w:pPr>
        <w:jc w:val="both"/>
        <w:rPr>
          <w:sz w:val="18"/>
          <w:szCs w:val="18"/>
        </w:rPr>
      </w:pPr>
    </w:p>
    <w:p w:rsidR="00FC54F8" w:rsidRDefault="00FC54F8" w:rsidP="001A1DCB">
      <w:pPr>
        <w:jc w:val="both"/>
        <w:rPr>
          <w:sz w:val="18"/>
          <w:szCs w:val="18"/>
        </w:rPr>
      </w:pPr>
    </w:p>
    <w:p w:rsidR="00FC54F8" w:rsidRDefault="00FC54F8" w:rsidP="001A1DCB">
      <w:pPr>
        <w:jc w:val="both"/>
        <w:rPr>
          <w:sz w:val="18"/>
          <w:szCs w:val="18"/>
        </w:rPr>
      </w:pPr>
    </w:p>
    <w:p w:rsidR="00FC54F8" w:rsidRDefault="00FC54F8" w:rsidP="001A1DCB">
      <w:pPr>
        <w:jc w:val="both"/>
        <w:rPr>
          <w:sz w:val="18"/>
          <w:szCs w:val="18"/>
        </w:rPr>
      </w:pPr>
    </w:p>
    <w:p w:rsidR="00FC54F8" w:rsidRDefault="00FC54F8" w:rsidP="001A1DCB">
      <w:pPr>
        <w:jc w:val="both"/>
        <w:rPr>
          <w:sz w:val="18"/>
          <w:szCs w:val="18"/>
        </w:rPr>
      </w:pPr>
    </w:p>
    <w:p w:rsidR="00FC54F8" w:rsidRDefault="00FC54F8" w:rsidP="001A1DCB">
      <w:pPr>
        <w:jc w:val="both"/>
        <w:rPr>
          <w:sz w:val="18"/>
          <w:szCs w:val="18"/>
        </w:rPr>
      </w:pPr>
    </w:p>
    <w:p w:rsidR="00FC54F8" w:rsidRDefault="00FC54F8" w:rsidP="001A1DCB">
      <w:pPr>
        <w:jc w:val="both"/>
        <w:rPr>
          <w:sz w:val="18"/>
          <w:szCs w:val="18"/>
        </w:rPr>
      </w:pPr>
    </w:p>
    <w:p w:rsidR="00FC54F8" w:rsidRDefault="00FC54F8" w:rsidP="001A1DCB">
      <w:pPr>
        <w:jc w:val="both"/>
        <w:rPr>
          <w:sz w:val="18"/>
          <w:szCs w:val="18"/>
        </w:rPr>
      </w:pPr>
    </w:p>
    <w:p w:rsidR="00FC54F8" w:rsidRDefault="00FC54F8" w:rsidP="001A1DCB">
      <w:pPr>
        <w:jc w:val="both"/>
        <w:rPr>
          <w:sz w:val="18"/>
          <w:szCs w:val="18"/>
        </w:rPr>
      </w:pPr>
    </w:p>
    <w:p w:rsidR="00FC54F8" w:rsidRDefault="00FC54F8" w:rsidP="001A1DCB">
      <w:pPr>
        <w:jc w:val="both"/>
        <w:rPr>
          <w:sz w:val="18"/>
          <w:szCs w:val="18"/>
        </w:rPr>
      </w:pPr>
    </w:p>
    <w:p w:rsidR="00FC54F8" w:rsidRDefault="00FC54F8" w:rsidP="001A1DCB">
      <w:pPr>
        <w:jc w:val="both"/>
        <w:rPr>
          <w:sz w:val="18"/>
          <w:szCs w:val="18"/>
        </w:rPr>
      </w:pPr>
    </w:p>
    <w:p w:rsidR="001A1DCB" w:rsidRDefault="001A1DCB" w:rsidP="00947F4A">
      <w:pPr>
        <w:jc w:val="both"/>
        <w:rPr>
          <w:sz w:val="22"/>
          <w:szCs w:val="22"/>
          <w:lang w:val="id-ID"/>
        </w:rPr>
      </w:pPr>
    </w:p>
    <w:p w:rsidR="001A1DCB" w:rsidRDefault="001A1DCB" w:rsidP="001A1DCB">
      <w:pPr>
        <w:jc w:val="both"/>
        <w:rPr>
          <w:sz w:val="22"/>
          <w:szCs w:val="22"/>
        </w:rPr>
      </w:pPr>
    </w:p>
    <w:p w:rsidR="00947F4A" w:rsidRPr="00300CB8" w:rsidRDefault="00947F4A" w:rsidP="00947F4A">
      <w:pPr>
        <w:jc w:val="both"/>
        <w:rPr>
          <w:sz w:val="22"/>
          <w:szCs w:val="22"/>
          <w:lang w:val="id-ID"/>
        </w:rPr>
      </w:pPr>
    </w:p>
    <w:p w:rsidR="00B11A03" w:rsidRPr="00B11A03" w:rsidRDefault="00B11A03" w:rsidP="00B11A03">
      <w:pPr>
        <w:spacing w:after="200"/>
        <w:jc w:val="both"/>
        <w:rPr>
          <w:sz w:val="22"/>
          <w:szCs w:val="22"/>
          <w:lang w:val="id-ID"/>
        </w:rPr>
      </w:pPr>
    </w:p>
    <w:p w:rsidR="002337F3" w:rsidRDefault="002337F3" w:rsidP="00541977">
      <w:pPr>
        <w:ind w:firstLine="360"/>
        <w:jc w:val="both"/>
        <w:rPr>
          <w:sz w:val="22"/>
          <w:szCs w:val="22"/>
        </w:rPr>
      </w:pPr>
    </w:p>
    <w:sectPr w:rsidR="002337F3" w:rsidSect="00482F53">
      <w:type w:val="continuous"/>
      <w:pgSz w:w="11909" w:h="16834" w:code="9"/>
      <w:pgMar w:top="1701" w:right="1701" w:bottom="2268" w:left="1701" w:header="1063" w:footer="1241" w:gutter="0"/>
      <w:cols w:num="2" w:space="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A06" w:rsidRDefault="001C1A06">
      <w:r>
        <w:separator/>
      </w:r>
    </w:p>
  </w:endnote>
  <w:endnote w:type="continuationSeparator" w:id="1">
    <w:p w:rsidR="001C1A06" w:rsidRDefault="001C1A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7D3" w:rsidRDefault="00581800">
    <w:pPr>
      <w:pStyle w:val="Footer"/>
      <w:jc w:val="right"/>
    </w:pPr>
    <w:fldSimple w:instr=" PAGE   \* MERGEFORMAT ">
      <w:r w:rsidR="008E4D8F">
        <w:rPr>
          <w:noProof/>
        </w:rPr>
        <w:t>2</w:t>
      </w:r>
    </w:fldSimple>
  </w:p>
  <w:p w:rsidR="00F41C66" w:rsidRDefault="00F41C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AF" w:rsidRDefault="00581800" w:rsidP="008E79AF">
    <w:pPr>
      <w:pStyle w:val="Pa0"/>
      <w:jc w:val="both"/>
      <w:rPr>
        <w:rStyle w:val="A3"/>
        <w:rFonts w:ascii="Times New Roman" w:hAnsi="Times New Roman" w:cs="Times New Roman"/>
        <w:b/>
        <w:bCs/>
        <w:sz w:val="20"/>
        <w:szCs w:val="20"/>
        <w:lang w:val="en-US"/>
      </w:rPr>
    </w:pPr>
    <w:r w:rsidRPr="00581800">
      <w:rPr>
        <w:rFonts w:ascii="Times New Roman" w:hAnsi="Times New Roman"/>
        <w:b/>
        <w:bCs/>
        <w:noProof/>
        <w:color w:val="000000"/>
        <w:sz w:val="20"/>
        <w:szCs w:val="20"/>
        <w:lang w:val="en-US"/>
      </w:rPr>
      <w:pict>
        <v:shapetype id="_x0000_t32" coordsize="21600,21600" o:spt="32" o:oned="t" path="m,l21600,21600e" filled="f">
          <v:path arrowok="t" fillok="f" o:connecttype="none"/>
          <o:lock v:ext="edit" shapetype="t"/>
        </v:shapetype>
        <v:shape id="_x0000_s7172" type="#_x0000_t32" style="position:absolute;left:0;text-align:left;margin-left:.55pt;margin-top:6.5pt;width:117.5pt;height:0;z-index:251658752" o:connectortype="straight"/>
      </w:pict>
    </w:r>
  </w:p>
  <w:p w:rsidR="008E79AF" w:rsidRPr="00B67594" w:rsidRDefault="008E79AF" w:rsidP="008E79AF">
    <w:pPr>
      <w:pStyle w:val="Pa0"/>
      <w:jc w:val="both"/>
      <w:rPr>
        <w:rFonts w:ascii="Times New Roman" w:hAnsi="Times New Roman"/>
        <w:color w:val="000000"/>
        <w:sz w:val="20"/>
        <w:szCs w:val="20"/>
      </w:rPr>
    </w:pPr>
    <w:r w:rsidRPr="00B67594">
      <w:rPr>
        <w:rStyle w:val="A3"/>
        <w:rFonts w:ascii="Times New Roman" w:hAnsi="Times New Roman" w:cs="Times New Roman"/>
        <w:b/>
        <w:bCs/>
        <w:sz w:val="20"/>
        <w:szCs w:val="20"/>
      </w:rPr>
      <w:t>*Corresponding Author:</w:t>
    </w:r>
  </w:p>
  <w:p w:rsidR="008E79AF" w:rsidRPr="00B67594" w:rsidRDefault="0010794C" w:rsidP="008E79AF">
    <w:pPr>
      <w:pStyle w:val="Pa10"/>
      <w:jc w:val="both"/>
      <w:rPr>
        <w:rFonts w:ascii="Times New Roman" w:hAnsi="Times New Roman"/>
        <w:color w:val="000000"/>
        <w:sz w:val="20"/>
        <w:szCs w:val="20"/>
      </w:rPr>
    </w:pPr>
    <w:r>
      <w:rPr>
        <w:rStyle w:val="A3"/>
        <w:rFonts w:ascii="Times New Roman" w:hAnsi="Times New Roman" w:cs="Times New Roman"/>
        <w:sz w:val="20"/>
        <w:szCs w:val="20"/>
      </w:rPr>
      <w:t>Zulfikar Husni Faruq</w:t>
    </w:r>
  </w:p>
  <w:p w:rsidR="008E79AF" w:rsidRPr="00B67594" w:rsidRDefault="0010794C" w:rsidP="008E79AF">
    <w:pPr>
      <w:pStyle w:val="Pa10"/>
      <w:jc w:val="both"/>
      <w:rPr>
        <w:rFonts w:ascii="Times New Roman" w:hAnsi="Times New Roman"/>
        <w:color w:val="000000"/>
        <w:sz w:val="20"/>
        <w:szCs w:val="20"/>
      </w:rPr>
    </w:pPr>
    <w:r>
      <w:rPr>
        <w:rFonts w:ascii="Times New Roman" w:hAnsi="Times New Roman"/>
        <w:color w:val="000000"/>
        <w:sz w:val="20"/>
        <w:szCs w:val="20"/>
      </w:rPr>
      <w:t>Laboratorium Hematologi</w:t>
    </w:r>
    <w:r w:rsidR="008E79AF" w:rsidRPr="00B67594">
      <w:rPr>
        <w:rFonts w:ascii="Times New Roman" w:hAnsi="Times New Roman"/>
        <w:color w:val="000000"/>
        <w:sz w:val="20"/>
        <w:szCs w:val="20"/>
      </w:rPr>
      <w:t xml:space="preserve">, Fakultas Ilmu Keperawatan dan Kesehatan, Universitas Muhammadiyah Semarang, Semarang Indonesia 50273. </w:t>
    </w:r>
  </w:p>
  <w:p w:rsidR="008E79AF" w:rsidRPr="00B67594" w:rsidRDefault="008E79AF" w:rsidP="008E79AF">
    <w:pPr>
      <w:rPr>
        <w:color w:val="000000"/>
        <w:sz w:val="20"/>
        <w:lang w:val="id-ID"/>
      </w:rPr>
    </w:pPr>
    <w:r w:rsidRPr="00B67594">
      <w:rPr>
        <w:color w:val="000000"/>
        <w:sz w:val="20"/>
      </w:rPr>
      <w:t xml:space="preserve">E-mail: </w:t>
    </w:r>
    <w:hyperlink r:id="rId1" w:history="1">
      <w:r w:rsidR="0010794C" w:rsidRPr="00B85F59">
        <w:rPr>
          <w:rStyle w:val="Hyperlink"/>
          <w:sz w:val="20"/>
          <w:lang w:val="id-ID"/>
        </w:rPr>
        <w:t>zulfikar.husni@</w:t>
      </w:r>
      <w:r w:rsidR="0010794C" w:rsidRPr="00B85F59">
        <w:rPr>
          <w:rStyle w:val="Hyperlink"/>
          <w:sz w:val="20"/>
        </w:rPr>
        <w:t>unimus</w:t>
      </w:r>
      <w:r w:rsidR="0010794C" w:rsidRPr="00B85F59">
        <w:rPr>
          <w:rStyle w:val="Hyperlink"/>
          <w:sz w:val="20"/>
          <w:lang w:val="id-ID"/>
        </w:rPr>
        <w:t>.</w:t>
      </w:r>
      <w:r w:rsidR="0010794C" w:rsidRPr="00B85F59">
        <w:rPr>
          <w:rStyle w:val="Hyperlink"/>
          <w:sz w:val="20"/>
        </w:rPr>
        <w:t>a</w:t>
      </w:r>
      <w:r w:rsidR="0010794C" w:rsidRPr="00B85F59">
        <w:rPr>
          <w:rStyle w:val="Hyperlink"/>
          <w:sz w:val="20"/>
          <w:lang w:val="id-ID"/>
        </w:rPr>
        <w:t>c</w:t>
      </w:r>
      <w:r w:rsidR="0010794C" w:rsidRPr="00B85F59">
        <w:rPr>
          <w:rStyle w:val="Hyperlink"/>
          <w:sz w:val="20"/>
        </w:rPr>
        <w:t>.id</w:t>
      </w:r>
    </w:hyperlink>
  </w:p>
  <w:p w:rsidR="004B3F6C" w:rsidRDefault="00581800" w:rsidP="00F41C66">
    <w:pPr>
      <w:pStyle w:val="Footer"/>
      <w:jc w:val="right"/>
    </w:pPr>
    <w:r>
      <w:fldChar w:fldCharType="begin"/>
    </w:r>
    <w:r w:rsidR="001303EE">
      <w:instrText xml:space="preserve"> PAGE   \* MERGEFORMAT </w:instrText>
    </w:r>
    <w:r>
      <w:fldChar w:fldCharType="separate"/>
    </w:r>
    <w:r w:rsidR="008E4D8F">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A06" w:rsidRDefault="001C1A06">
      <w:r>
        <w:separator/>
      </w:r>
    </w:p>
  </w:footnote>
  <w:footnote w:type="continuationSeparator" w:id="1">
    <w:p w:rsidR="001C1A06" w:rsidRDefault="001C1A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53" w:rsidRPr="00E52CD9" w:rsidRDefault="00A85002" w:rsidP="00FC54F8">
    <w:pPr>
      <w:pStyle w:val="Header"/>
      <w:tabs>
        <w:tab w:val="clear" w:pos="4680"/>
        <w:tab w:val="clear" w:pos="9360"/>
        <w:tab w:val="right" w:pos="8505"/>
      </w:tabs>
      <w:jc w:val="center"/>
      <w:rPr>
        <w:sz w:val="20"/>
      </w:rPr>
    </w:pPr>
    <w:r w:rsidRPr="00A85002">
      <w:rPr>
        <w:sz w:val="20"/>
        <w:lang w:val="id-ID"/>
      </w:rPr>
      <w:t xml:space="preserve">Prastiyanto </w:t>
    </w:r>
    <w:r w:rsidRPr="00A85002">
      <w:rPr>
        <w:i/>
        <w:sz w:val="20"/>
        <w:lang w:val="id-ID"/>
      </w:rPr>
      <w:t>et al.</w:t>
    </w:r>
    <w:r w:rsidR="00FC54F8">
      <w:rPr>
        <w:i/>
        <w:sz w:val="20"/>
      </w:rPr>
      <w:t>/Jlabmed</w:t>
    </w:r>
    <w:r w:rsidR="00E52CD9">
      <w:rPr>
        <w:sz w:val="20"/>
      </w:rPr>
      <w:t xml:space="preserve"> 2 (2016) 110-20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53" w:rsidRPr="00E46CF1" w:rsidRDefault="00D30871" w:rsidP="00E46CF1">
    <w:pPr>
      <w:pStyle w:val="Header"/>
      <w:tabs>
        <w:tab w:val="clear" w:pos="4680"/>
        <w:tab w:val="clear" w:pos="9360"/>
        <w:tab w:val="right" w:pos="8080"/>
      </w:tabs>
      <w:ind w:right="994"/>
      <w:jc w:val="center"/>
      <w:rPr>
        <w:color w:val="FF0000"/>
        <w:sz w:val="20"/>
      </w:rPr>
    </w:pPr>
    <w:r>
      <w:rPr>
        <w:sz w:val="20"/>
      </w:rPr>
      <w:t>Jurnal Labora Medika</w:t>
    </w:r>
    <w:r w:rsidR="00E46CF1">
      <w:rPr>
        <w:sz w:val="20"/>
      </w:rPr>
      <w:t xml:space="preserve"> Volume (Tahun) </w:t>
    </w:r>
    <w:r w:rsidR="00E46CF1">
      <w:rPr>
        <w:sz w:val="20"/>
        <w:lang w:val="id-ID"/>
      </w:rPr>
      <w:t>Halaman [</w:t>
    </w:r>
    <w:r w:rsidR="00E46CF1">
      <w:rPr>
        <w:sz w:val="20"/>
      </w:rPr>
      <w:t>Jurnal Labora Medika 2 (2016) 110-20</w:t>
    </w:r>
    <w:r w:rsidR="00E46CF1">
      <w:rPr>
        <w:sz w:val="20"/>
        <w:lang w:val="id-ID"/>
      </w:rPr>
      <w:t>]</w:t>
    </w:r>
  </w:p>
  <w:p w:rsidR="00A85002" w:rsidRDefault="00A85002" w:rsidP="00D30871">
    <w:pPr>
      <w:pStyle w:val="Header"/>
      <w:tabs>
        <w:tab w:val="clear" w:pos="4680"/>
        <w:tab w:val="clear" w:pos="9360"/>
        <w:tab w:val="right" w:pos="8505"/>
      </w:tabs>
      <w:jc w:val="center"/>
      <w:rPr>
        <w:sz w:val="20"/>
      </w:rPr>
    </w:pPr>
    <w:r>
      <w:rPr>
        <w:sz w:val="20"/>
        <w:lang w:val="id-ID"/>
      </w:rPr>
      <w:t>(Time new roman font 10)</w:t>
    </w:r>
  </w:p>
  <w:p w:rsidR="00E46CF1" w:rsidRDefault="00581800" w:rsidP="00D30871">
    <w:pPr>
      <w:pStyle w:val="Header"/>
      <w:tabs>
        <w:tab w:val="clear" w:pos="4680"/>
        <w:tab w:val="clear" w:pos="9360"/>
        <w:tab w:val="right" w:pos="8505"/>
      </w:tabs>
      <w:jc w:val="center"/>
      <w:rPr>
        <w:color w:val="FF0000"/>
        <w:sz w:val="20"/>
      </w:rPr>
    </w:pPr>
    <w:r w:rsidRPr="00581800">
      <w:rPr>
        <w:noProof/>
        <w:color w:val="FF0000"/>
        <w:sz w:val="20"/>
      </w:rPr>
      <w:pict>
        <v:shapetype id="_x0000_t32" coordsize="21600,21600" o:spt="32" o:oned="t" path="m,l21600,21600e" filled="f">
          <v:path arrowok="t" fillok="f" o:connecttype="none"/>
          <o:lock v:ext="edit" shapetype="t"/>
        </v:shapetype>
        <v:shape id="_x0000_s7169" type="#_x0000_t32" style="position:absolute;left:0;text-align:left;margin-left:-4.85pt;margin-top:4.15pt;width:380.35pt;height:0;z-index:251656704" o:connectortype="straight"/>
      </w:pict>
    </w:r>
  </w:p>
  <w:p w:rsidR="00E46CF1" w:rsidRDefault="00E46CF1" w:rsidP="00E46CF1">
    <w:pPr>
      <w:pStyle w:val="Header"/>
      <w:jc w:val="center"/>
      <w:rPr>
        <w:sz w:val="20"/>
      </w:rPr>
    </w:pPr>
  </w:p>
  <w:p w:rsidR="008F07D3" w:rsidRDefault="008F07D3" w:rsidP="00E46CF1">
    <w:pPr>
      <w:pStyle w:val="Header"/>
      <w:jc w:val="center"/>
      <w:rPr>
        <w:sz w:val="20"/>
      </w:rPr>
    </w:pPr>
  </w:p>
  <w:p w:rsidR="00E46CF1" w:rsidRDefault="00E46CF1" w:rsidP="00E46CF1">
    <w:pPr>
      <w:pStyle w:val="Header"/>
      <w:jc w:val="center"/>
    </w:pPr>
    <w:r>
      <w:rPr>
        <w:sz w:val="20"/>
      </w:rPr>
      <w:t>Jurnal Labora Medika</w:t>
    </w:r>
  </w:p>
  <w:p w:rsidR="00E46CF1" w:rsidRDefault="00E46CF1" w:rsidP="00E46CF1">
    <w:pPr>
      <w:pStyle w:val="Header"/>
    </w:pPr>
  </w:p>
  <w:p w:rsidR="008F07D3" w:rsidRDefault="008F07D3" w:rsidP="00E46CF1">
    <w:pPr>
      <w:pStyle w:val="Header"/>
    </w:pPr>
  </w:p>
  <w:p w:rsidR="00E46CF1" w:rsidRPr="00E46CF1" w:rsidRDefault="00581800" w:rsidP="00E46CF1">
    <w:pPr>
      <w:pStyle w:val="Header"/>
    </w:pPr>
    <w:r w:rsidRPr="00581800">
      <w:rPr>
        <w:noProof/>
      </w:rPr>
      <w:pict>
        <v:shape id="_x0000_s7170" type="#_x0000_t32" style="position:absolute;margin-left:-2pt;margin-top:10.85pt;width:428.4pt;height:0;z-index:251657728" o:connectortype="straight" strokeweight="2.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attachedTemplate r:id="rId1"/>
  <w:defaultTabStop w:val="720"/>
  <w:evenAndOddHeaders/>
  <w:drawingGridHorizontalSpacing w:val="120"/>
  <w:displayHorizontalDrawingGridEvery w:val="2"/>
  <w:displayVerticalDrawingGridEvery w:val="2"/>
  <w:characterSpacingControl w:val="doNotCompress"/>
  <w:hdrShapeDefaults>
    <o:shapedefaults v:ext="edit" spidmax="25602"/>
    <o:shapelayout v:ext="edit">
      <o:idmap v:ext="edit" data="7"/>
      <o:rules v:ext="edit">
        <o:r id="V:Rule4" type="connector" idref="#_x0000_s7172"/>
        <o:r id="V:Rule5" type="connector" idref="#_x0000_s7170"/>
        <o:r id="V:Rule6" type="connector" idref="#_x0000_s7169"/>
      </o:rules>
    </o:shapelayout>
  </w:hdrShapeDefaults>
  <w:footnotePr>
    <w:footnote w:id="0"/>
    <w:footnote w:id="1"/>
  </w:footnotePr>
  <w:endnotePr>
    <w:endnote w:id="0"/>
    <w:endnote w:id="1"/>
  </w:endnotePr>
  <w:compat/>
  <w:rsids>
    <w:rsidRoot w:val="00645690"/>
    <w:rsid w:val="00010C81"/>
    <w:rsid w:val="00017BCC"/>
    <w:rsid w:val="000228E8"/>
    <w:rsid w:val="00023132"/>
    <w:rsid w:val="00024951"/>
    <w:rsid w:val="00066567"/>
    <w:rsid w:val="0008036A"/>
    <w:rsid w:val="000C4364"/>
    <w:rsid w:val="0010794C"/>
    <w:rsid w:val="001303EE"/>
    <w:rsid w:val="001419FC"/>
    <w:rsid w:val="00161B59"/>
    <w:rsid w:val="001672D6"/>
    <w:rsid w:val="00175AFC"/>
    <w:rsid w:val="00192FD4"/>
    <w:rsid w:val="001A1DCB"/>
    <w:rsid w:val="001C1A06"/>
    <w:rsid w:val="00201B74"/>
    <w:rsid w:val="00203B5F"/>
    <w:rsid w:val="00205B7A"/>
    <w:rsid w:val="0021008A"/>
    <w:rsid w:val="00211A97"/>
    <w:rsid w:val="00214280"/>
    <w:rsid w:val="002241B8"/>
    <w:rsid w:val="002318A5"/>
    <w:rsid w:val="002337F3"/>
    <w:rsid w:val="00240055"/>
    <w:rsid w:val="0025052A"/>
    <w:rsid w:val="0026234A"/>
    <w:rsid w:val="00265363"/>
    <w:rsid w:val="00291FCB"/>
    <w:rsid w:val="0029251F"/>
    <w:rsid w:val="002A3199"/>
    <w:rsid w:val="002B27C2"/>
    <w:rsid w:val="002C2406"/>
    <w:rsid w:val="002C3955"/>
    <w:rsid w:val="00300CB8"/>
    <w:rsid w:val="00301B16"/>
    <w:rsid w:val="003075C4"/>
    <w:rsid w:val="00307AC7"/>
    <w:rsid w:val="00314E75"/>
    <w:rsid w:val="00324AFE"/>
    <w:rsid w:val="00336B34"/>
    <w:rsid w:val="003451AD"/>
    <w:rsid w:val="003573E6"/>
    <w:rsid w:val="00364D76"/>
    <w:rsid w:val="00365CF9"/>
    <w:rsid w:val="00374C9B"/>
    <w:rsid w:val="00395B9C"/>
    <w:rsid w:val="003C741E"/>
    <w:rsid w:val="004013F0"/>
    <w:rsid w:val="004345F3"/>
    <w:rsid w:val="00482F53"/>
    <w:rsid w:val="004A6B49"/>
    <w:rsid w:val="004B3F6C"/>
    <w:rsid w:val="004C5327"/>
    <w:rsid w:val="004D267C"/>
    <w:rsid w:val="004E08C2"/>
    <w:rsid w:val="00522B40"/>
    <w:rsid w:val="005412F5"/>
    <w:rsid w:val="00541977"/>
    <w:rsid w:val="00541D2A"/>
    <w:rsid w:val="00580208"/>
    <w:rsid w:val="00581800"/>
    <w:rsid w:val="00586CFE"/>
    <w:rsid w:val="00593A4C"/>
    <w:rsid w:val="005A32AC"/>
    <w:rsid w:val="005B2B90"/>
    <w:rsid w:val="005B6FAF"/>
    <w:rsid w:val="005E6401"/>
    <w:rsid w:val="006048B8"/>
    <w:rsid w:val="00612CF4"/>
    <w:rsid w:val="006208C5"/>
    <w:rsid w:val="00623298"/>
    <w:rsid w:val="00641B60"/>
    <w:rsid w:val="00645690"/>
    <w:rsid w:val="006459CF"/>
    <w:rsid w:val="006636B1"/>
    <w:rsid w:val="0066789B"/>
    <w:rsid w:val="0067580E"/>
    <w:rsid w:val="00675AEE"/>
    <w:rsid w:val="0068565D"/>
    <w:rsid w:val="006A1FFF"/>
    <w:rsid w:val="006A3EA6"/>
    <w:rsid w:val="006C063C"/>
    <w:rsid w:val="006E2AF6"/>
    <w:rsid w:val="006F53F4"/>
    <w:rsid w:val="00713F5B"/>
    <w:rsid w:val="007254C1"/>
    <w:rsid w:val="00734829"/>
    <w:rsid w:val="007432C2"/>
    <w:rsid w:val="0077329E"/>
    <w:rsid w:val="007964AA"/>
    <w:rsid w:val="007A0CBD"/>
    <w:rsid w:val="007C1971"/>
    <w:rsid w:val="007D1129"/>
    <w:rsid w:val="007F3CF3"/>
    <w:rsid w:val="0080184F"/>
    <w:rsid w:val="00821982"/>
    <w:rsid w:val="00844553"/>
    <w:rsid w:val="0084586B"/>
    <w:rsid w:val="008714D3"/>
    <w:rsid w:val="00881F43"/>
    <w:rsid w:val="008964A4"/>
    <w:rsid w:val="008C4BF9"/>
    <w:rsid w:val="008E4D8F"/>
    <w:rsid w:val="008E79AF"/>
    <w:rsid w:val="008F07D3"/>
    <w:rsid w:val="0092035F"/>
    <w:rsid w:val="009243FC"/>
    <w:rsid w:val="00925DBB"/>
    <w:rsid w:val="009331BC"/>
    <w:rsid w:val="0093359F"/>
    <w:rsid w:val="00947F4A"/>
    <w:rsid w:val="0099047D"/>
    <w:rsid w:val="009C6189"/>
    <w:rsid w:val="009D4C59"/>
    <w:rsid w:val="009F3609"/>
    <w:rsid w:val="009F7767"/>
    <w:rsid w:val="00A03ECE"/>
    <w:rsid w:val="00A15C2F"/>
    <w:rsid w:val="00A53740"/>
    <w:rsid w:val="00A56E67"/>
    <w:rsid w:val="00A6221A"/>
    <w:rsid w:val="00A72B34"/>
    <w:rsid w:val="00A85002"/>
    <w:rsid w:val="00A933E5"/>
    <w:rsid w:val="00AE435A"/>
    <w:rsid w:val="00B11A03"/>
    <w:rsid w:val="00B178C0"/>
    <w:rsid w:val="00B67594"/>
    <w:rsid w:val="00B80FC8"/>
    <w:rsid w:val="00BC2290"/>
    <w:rsid w:val="00BC782F"/>
    <w:rsid w:val="00BD4300"/>
    <w:rsid w:val="00BE5E04"/>
    <w:rsid w:val="00BE7B73"/>
    <w:rsid w:val="00C35CDC"/>
    <w:rsid w:val="00C71126"/>
    <w:rsid w:val="00C87F54"/>
    <w:rsid w:val="00CA633C"/>
    <w:rsid w:val="00D25F86"/>
    <w:rsid w:val="00D26E99"/>
    <w:rsid w:val="00D30871"/>
    <w:rsid w:val="00D500E1"/>
    <w:rsid w:val="00D73172"/>
    <w:rsid w:val="00D87D3D"/>
    <w:rsid w:val="00DB5735"/>
    <w:rsid w:val="00DD48A1"/>
    <w:rsid w:val="00DE4494"/>
    <w:rsid w:val="00E138E2"/>
    <w:rsid w:val="00E226DA"/>
    <w:rsid w:val="00E24310"/>
    <w:rsid w:val="00E41253"/>
    <w:rsid w:val="00E46CF1"/>
    <w:rsid w:val="00E501F4"/>
    <w:rsid w:val="00E52CD9"/>
    <w:rsid w:val="00E6532D"/>
    <w:rsid w:val="00EB2D0C"/>
    <w:rsid w:val="00EB3B21"/>
    <w:rsid w:val="00EE0CEE"/>
    <w:rsid w:val="00F007C5"/>
    <w:rsid w:val="00F01E62"/>
    <w:rsid w:val="00F34950"/>
    <w:rsid w:val="00F35482"/>
    <w:rsid w:val="00F41C66"/>
    <w:rsid w:val="00F51B6E"/>
    <w:rsid w:val="00F54EC7"/>
    <w:rsid w:val="00F7073A"/>
    <w:rsid w:val="00F740FC"/>
    <w:rsid w:val="00F81617"/>
    <w:rsid w:val="00F92A94"/>
    <w:rsid w:val="00F93B25"/>
    <w:rsid w:val="00FB33E1"/>
    <w:rsid w:val="00FC54F8"/>
    <w:rsid w:val="00FD121A"/>
    <w:rsid w:val="00FE772B"/>
    <w:rsid w:val="00FF1FA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rPr>
      <w:rFonts w:eastAsia="Times New Roman"/>
      <w:sz w:val="24"/>
      <w:lang w:val="en-US" w:eastAsia="en-US"/>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Cambria" w:eastAsia="Times New Roman" w:hAnsi="Cambria" w:cs="Times New Roman"/>
      <w:b/>
      <w:bCs/>
      <w:color w:val="4F81BD"/>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apple-converted-space">
    <w:name w:val="apple-converted-space"/>
    <w:basedOn w:val="DefaultParagraphFont"/>
    <w:rsid w:val="003075C4"/>
  </w:style>
  <w:style w:type="paragraph" w:customStyle="1" w:styleId="Default">
    <w:name w:val="Default"/>
    <w:rsid w:val="006E2AF6"/>
    <w:pPr>
      <w:autoSpaceDE w:val="0"/>
      <w:autoSpaceDN w:val="0"/>
      <w:adjustRightInd w:val="0"/>
    </w:pPr>
    <w:rPr>
      <w:rFonts w:ascii="Book Antiqua" w:hAnsi="Book Antiqua" w:cs="Book Antiqua"/>
      <w:color w:val="000000"/>
      <w:sz w:val="24"/>
      <w:szCs w:val="24"/>
      <w:lang w:eastAsia="en-US"/>
    </w:rPr>
  </w:style>
  <w:style w:type="paragraph" w:customStyle="1" w:styleId="Pa0">
    <w:name w:val="Pa0"/>
    <w:basedOn w:val="Default"/>
    <w:next w:val="Default"/>
    <w:uiPriority w:val="99"/>
    <w:rsid w:val="006E2AF6"/>
    <w:pPr>
      <w:spacing w:line="241" w:lineRule="atLeast"/>
    </w:pPr>
    <w:rPr>
      <w:rFonts w:cs="Times New Roman"/>
      <w:color w:val="auto"/>
    </w:rPr>
  </w:style>
  <w:style w:type="character" w:customStyle="1" w:styleId="A3">
    <w:name w:val="A3"/>
    <w:uiPriority w:val="99"/>
    <w:rsid w:val="006E2AF6"/>
    <w:rPr>
      <w:rFonts w:cs="Book Antiqua"/>
      <w:color w:val="000000"/>
      <w:sz w:val="18"/>
      <w:szCs w:val="18"/>
    </w:rPr>
  </w:style>
  <w:style w:type="paragraph" w:customStyle="1" w:styleId="Pa10">
    <w:name w:val="Pa10"/>
    <w:basedOn w:val="Default"/>
    <w:next w:val="Default"/>
    <w:uiPriority w:val="99"/>
    <w:rsid w:val="006E2AF6"/>
    <w:pPr>
      <w:spacing w:line="191" w:lineRule="atLeast"/>
    </w:pPr>
    <w:rPr>
      <w:rFonts w:cs="Times New Roman"/>
      <w:color w:val="auto"/>
    </w:rPr>
  </w:style>
  <w:style w:type="paragraph" w:styleId="HTMLPreformatted">
    <w:name w:val="HTML Preformatted"/>
    <w:basedOn w:val="Normal"/>
    <w:link w:val="HTMLPreformattedChar"/>
    <w:uiPriority w:val="99"/>
    <w:unhideWhenUsed/>
    <w:rsid w:val="001A1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rsid w:val="001A1DCB"/>
    <w:rPr>
      <w:rFonts w:ascii="Courier New" w:eastAsia="Times New Roman" w:hAnsi="Courier New" w:cs="Courier New"/>
      <w:sz w:val="20"/>
      <w:szCs w:val="20"/>
      <w:lang w:val="id-ID" w:eastAsia="id-ID"/>
    </w:rPr>
  </w:style>
  <w:style w:type="paragraph" w:styleId="NormalWeb">
    <w:name w:val="Normal (Web)"/>
    <w:basedOn w:val="Normal"/>
    <w:uiPriority w:val="99"/>
    <w:semiHidden/>
    <w:unhideWhenUsed/>
    <w:rsid w:val="00947F4A"/>
    <w:pPr>
      <w:spacing w:before="100" w:beforeAutospacing="1" w:after="100" w:afterAutospacing="1"/>
    </w:pPr>
    <w:rPr>
      <w:szCs w:val="24"/>
      <w:lang w:val="id-ID" w:eastAsia="id-ID"/>
    </w:rPr>
  </w:style>
</w:styles>
</file>

<file path=word/webSettings.xml><?xml version="1.0" encoding="utf-8"?>
<w:webSettings xmlns:r="http://schemas.openxmlformats.org/officeDocument/2006/relationships" xmlns:w="http://schemas.openxmlformats.org/wordprocessingml/2006/main">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zulfikar.husni@unimus.ac.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Jurnal\julnal%20tlm%20unimus%20new%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2E1D8-F15B-4114-969F-3486A5A7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julnal tlm unimus new TEMPLATE</Template>
  <TotalTime>626</TotalTime>
  <Pages>3</Pages>
  <Words>2691</Words>
  <Characters>15344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18000</CharactersWithSpaces>
  <SharedDoc>false</SharedDoc>
  <HLinks>
    <vt:vector size="6" baseType="variant">
      <vt:variant>
        <vt:i4>3014753</vt:i4>
      </vt:variant>
      <vt:variant>
        <vt:i4>3</vt:i4>
      </vt:variant>
      <vt:variant>
        <vt:i4>0</vt:i4>
      </vt:variant>
      <vt:variant>
        <vt:i4>5</vt:i4>
      </vt:variant>
      <vt:variant>
        <vt:lpwstr>mailto:evy_prastiyanto@unimus.ac.id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24</cp:revision>
  <cp:lastPrinted>2017-01-31T01:25:00Z</cp:lastPrinted>
  <dcterms:created xsi:type="dcterms:W3CDTF">2018-01-08T21:01:00Z</dcterms:created>
  <dcterms:modified xsi:type="dcterms:W3CDTF">2018-03-27T04:42:00Z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c0719516-468c-33c6-b102-ea7e8573cd3b</vt:lpwstr>
  </property>
  <property fmtid="{D5CDD505-2E9C-101B-9397-08002B2CF9AE}" pid="24" name="Mendeley Citation Style_1">
    <vt:lpwstr>http://www.zotero.org/styles/harvard1</vt:lpwstr>
  </property>
</Properties>
</file>